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keepLines/>
        <w:keepNext/>
      </w:pPr>
      <w:r/>
      <w:r/>
    </w:p>
    <w:p>
      <w:pPr>
        <w:keepLines/>
        <w:keepNext/>
      </w:pPr>
      <w:r/>
      <w:r/>
    </w:p>
    <w:p>
      <w:pPr>
        <w:keepLines/>
        <w:keepNext/>
      </w:pPr>
      <w:r/>
      <w:r/>
    </w:p>
    <w:p>
      <w:pPr>
        <w:keepLines/>
        <w:keepNext/>
      </w:pPr>
      <w:r/>
      <w:r/>
    </w:p>
    <w:p>
      <w:pPr>
        <w:keepLines/>
        <w:keepNext/>
      </w:pPr>
      <w:r/>
      <w:r/>
    </w:p>
    <w:p>
      <w:pPr>
        <w:keepLines/>
        <w:keepNext/>
      </w:pPr>
      <w:r/>
      <w:r/>
    </w:p>
    <w:p>
      <w:pPr>
        <w:keepLines/>
        <w:keepNext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keepLines/>
        <w:keepNext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keepLines/>
        <w:keepNext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keepLines/>
        <w:keepNext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Технические требования на оказание услуг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</w:rPr>
        <w:t xml:space="preserve">«ОКПД2 </w:t>
      </w:r>
      <w:r>
        <w:rPr>
          <w:rFonts w:ascii="Times New Roman" w:hAnsi="Times New Roman" w:eastAsia="Times New Roman" w:cs="Times New Roman"/>
          <w:color w:val="333333"/>
          <w:shd w:val="clear" w:color="auto" w:fill="f5f5f5"/>
        </w:rPr>
        <w:t xml:space="preserve">71.11.31.000</w:t>
      </w:r>
      <w:r>
        <w:rPr>
          <w:rFonts w:ascii="Times New Roman" w:hAnsi="Times New Roman" w:eastAsia="Times New Roman" w:cs="Times New Roman"/>
          <w:color w:val="333333"/>
          <w:shd w:val="clear" w:color="auto" w:fill="f5f5f5"/>
        </w:rPr>
        <w:t xml:space="preserve"> </w:t>
      </w:r>
      <w:bookmarkStart w:id="0" w:name="_GoBack"/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</w:rPr>
        <w:t xml:space="preserve">Оказание услуг по проведению топографической съемки реконструируемых участков теплотрасс для Хабаровских тепловых сетей в г. Хабаровске»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Лот 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№41026020-ЭКСП ПРОД-2026-ДГК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-ХТС</w:t>
      </w:r>
      <w:r>
        <w:rPr>
          <w:rFonts w:ascii="Times New Roman" w:hAnsi="Times New Roman" w:cs="Times New Roman"/>
          <w:b/>
          <w:i/>
          <w:sz w:val="26"/>
          <w:szCs w:val="26"/>
        </w:rPr>
      </w:r>
      <w:r>
        <w:rPr>
          <w:rFonts w:ascii="Times New Roman" w:hAnsi="Times New Roman" w:cs="Times New Roman"/>
          <w:b/>
          <w:i/>
          <w:sz w:val="26"/>
          <w:szCs w:val="26"/>
        </w:rPr>
      </w:r>
    </w:p>
    <w:p>
      <w:pPr>
        <w:jc w:val="both"/>
        <w:keepLines/>
        <w:keepNext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br w:type="page" w:clear="all"/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949"/>
        <w:tabs>
          <w:tab w:val="left" w:pos="560" w:leader="none"/>
          <w:tab w:val="right" w:pos="9911" w:leader="dot"/>
        </w:tabs>
        <w:rPr>
          <w:rFonts w:cs="Times New Roman"/>
          <w:b w:val="0"/>
          <w:bCs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fldChar w:fldCharType="begin"/>
      </w:r>
      <w:r>
        <w:rPr>
          <w:rFonts w:cs="Times New Roman"/>
          <w:b w:val="0"/>
          <w:sz w:val="28"/>
          <w:szCs w:val="28"/>
        </w:rPr>
        <w:instrText xml:space="preserve"> TOC \o "1-4" \h \z \u </w:instrText>
      </w:r>
      <w:r>
        <w:rPr>
          <w:rFonts w:cs="Times New Roman"/>
          <w:b w:val="0"/>
          <w:sz w:val="28"/>
          <w:szCs w:val="28"/>
        </w:rPr>
        <w:fldChar w:fldCharType="separate"/>
      </w:r>
      <w:hyperlink w:tooltip="#_Toc54643694" w:anchor="_Toc54643694" w:history="1">
        <w:r>
          <w:rPr>
            <w:rStyle w:val="951"/>
            <w:rFonts w:cs="Times New Roman"/>
            <w:sz w:val="28"/>
            <w:szCs w:val="28"/>
          </w:rPr>
          <w:t xml:space="preserve">1.</w:t>
        </w:r>
        <w:r>
          <w:rPr>
            <w:rFonts w:cs="Times New Roman" w:eastAsiaTheme="minorEastAsia"/>
            <w:b w:val="0"/>
            <w:bCs w:val="0"/>
            <w:sz w:val="28"/>
            <w:szCs w:val="28"/>
          </w:rPr>
          <w:tab/>
        </w:r>
        <w:r>
          <w:rPr>
            <w:rStyle w:val="951"/>
            <w:rFonts w:cs="Times New Roman" w:eastAsiaTheme="minorEastAsia"/>
            <w:sz w:val="28"/>
            <w:szCs w:val="28"/>
          </w:rPr>
          <w:t xml:space="preserve">Общие сведения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Fonts w:cs="Times New Roman" w:eastAsiaTheme="minorEastAsia"/>
            <w:sz w:val="28"/>
            <w:szCs w:val="28"/>
          </w:rPr>
          <w:fldChar w:fldCharType="begin"/>
        </w:r>
        <w:r>
          <w:rPr>
            <w:rFonts w:cs="Times New Roman" w:eastAsiaTheme="minorEastAsia"/>
            <w:sz w:val="28"/>
            <w:szCs w:val="28"/>
          </w:rPr>
          <w:instrText xml:space="preserve"> PAGEREF _Toc54643694 \h </w:instrText>
        </w:r>
        <w:r>
          <w:rPr>
            <w:rFonts w:cs="Times New Roman" w:eastAsiaTheme="minorEastAsia"/>
            <w:sz w:val="28"/>
            <w:szCs w:val="28"/>
          </w:rPr>
        </w:r>
        <w:r>
          <w:rPr>
            <w:rFonts w:cs="Times New Roman" w:eastAsiaTheme="minorEastAsia"/>
            <w:sz w:val="28"/>
            <w:szCs w:val="28"/>
          </w:rPr>
          <w:fldChar w:fldCharType="separate"/>
        </w:r>
        <w:r>
          <w:rPr>
            <w:rFonts w:cs="Times New Roman" w:eastAsiaTheme="minorEastAsia"/>
            <w:sz w:val="28"/>
            <w:szCs w:val="28"/>
          </w:rPr>
          <w:t xml:space="preserve">3</w:t>
        </w:r>
        <w:r>
          <w:rPr>
            <w:rFonts w:cs="Times New Roman" w:eastAsiaTheme="minorEastAsia"/>
            <w:sz w:val="28"/>
            <w:szCs w:val="28"/>
          </w:rPr>
          <w:fldChar w:fldCharType="end"/>
        </w:r>
      </w:hyperlink>
      <w:r>
        <w:rPr>
          <w:rFonts w:cs="Times New Roman"/>
          <w:b w:val="0"/>
          <w:bCs w:val="0"/>
          <w:sz w:val="28"/>
          <w:szCs w:val="28"/>
        </w:rPr>
      </w:r>
      <w:r>
        <w:rPr>
          <w:rFonts w:cs="Times New Roman"/>
          <w:b w:val="0"/>
          <w:bCs w:val="0"/>
          <w:sz w:val="28"/>
          <w:szCs w:val="28"/>
        </w:rPr>
      </w:r>
    </w:p>
    <w:p>
      <w:pPr>
        <w:pStyle w:val="962"/>
        <w:rPr>
          <w:rFonts w:cs="Times New Roman"/>
          <w:sz w:val="28"/>
          <w:szCs w:val="28"/>
        </w:rPr>
      </w:pPr>
      <w:r/>
      <w:hyperlink w:tooltip="#_Toc54643695" w:anchor="_Toc54643695" w:history="1">
        <w:r>
          <w:rPr>
            <w:rStyle w:val="951"/>
            <w:rFonts w:cs="Times New Roman" w:eastAsiaTheme="minorEastAsia"/>
            <w:sz w:val="28"/>
            <w:szCs w:val="28"/>
          </w:rPr>
          <w:t xml:space="preserve">1.1.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Style w:val="951"/>
            <w:rFonts w:cs="Times New Roman" w:eastAsiaTheme="minorEastAsia"/>
            <w:sz w:val="28"/>
            <w:szCs w:val="28"/>
          </w:rPr>
          <w:t xml:space="preserve">Обозначения и сокращения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Fonts w:cs="Times New Roman" w:eastAsiaTheme="minorEastAsia"/>
            <w:sz w:val="28"/>
            <w:szCs w:val="28"/>
          </w:rPr>
          <w:fldChar w:fldCharType="begin"/>
        </w:r>
        <w:r>
          <w:rPr>
            <w:rFonts w:cs="Times New Roman" w:eastAsiaTheme="minorEastAsia"/>
            <w:sz w:val="28"/>
            <w:szCs w:val="28"/>
          </w:rPr>
          <w:instrText xml:space="preserve"> PAGEREF _Toc54643695 \h </w:instrText>
        </w:r>
        <w:r>
          <w:rPr>
            <w:rFonts w:cs="Times New Roman" w:eastAsiaTheme="minorEastAsia"/>
            <w:sz w:val="28"/>
            <w:szCs w:val="28"/>
          </w:rPr>
        </w:r>
        <w:r>
          <w:rPr>
            <w:rFonts w:cs="Times New Roman" w:eastAsiaTheme="minorEastAsia"/>
            <w:sz w:val="28"/>
            <w:szCs w:val="28"/>
          </w:rPr>
          <w:fldChar w:fldCharType="separate"/>
        </w:r>
        <w:r>
          <w:rPr>
            <w:rFonts w:cs="Times New Roman" w:eastAsiaTheme="minorEastAsia"/>
            <w:sz w:val="28"/>
            <w:szCs w:val="28"/>
          </w:rPr>
          <w:t xml:space="preserve">3</w:t>
        </w:r>
        <w:r>
          <w:rPr>
            <w:rFonts w:cs="Times New Roman" w:eastAsiaTheme="minorEastAsia"/>
            <w:sz w:val="28"/>
            <w:szCs w:val="28"/>
          </w:rPr>
          <w:fldChar w:fldCharType="end"/>
        </w:r>
      </w:hyperlink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962"/>
        <w:rPr>
          <w:rFonts w:cs="Times New Roman"/>
          <w:sz w:val="28"/>
          <w:szCs w:val="28"/>
        </w:rPr>
      </w:pPr>
      <w:r/>
      <w:hyperlink w:tooltip="#_Toc54643696" w:anchor="_Toc54643696" w:history="1">
        <w:r>
          <w:rPr>
            <w:rStyle w:val="951"/>
            <w:rFonts w:cs="Times New Roman" w:eastAsiaTheme="minorEastAsia"/>
            <w:sz w:val="28"/>
            <w:szCs w:val="28"/>
          </w:rPr>
          <w:t xml:space="preserve">1.2.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Style w:val="951"/>
            <w:rFonts w:cs="Times New Roman" w:eastAsiaTheme="minorEastAsia"/>
            <w:sz w:val="28"/>
            <w:szCs w:val="28"/>
          </w:rPr>
          <w:t xml:space="preserve">Наименование закупаемой продукции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Fonts w:cs="Times New Roman" w:eastAsiaTheme="minorEastAsia"/>
            <w:sz w:val="28"/>
            <w:szCs w:val="28"/>
          </w:rPr>
          <w:fldChar w:fldCharType="begin"/>
        </w:r>
        <w:r>
          <w:rPr>
            <w:rFonts w:cs="Times New Roman" w:eastAsiaTheme="minorEastAsia"/>
            <w:sz w:val="28"/>
            <w:szCs w:val="28"/>
          </w:rPr>
          <w:instrText xml:space="preserve"> PAGEREF _Toc54643696 \h </w:instrText>
        </w:r>
        <w:r>
          <w:rPr>
            <w:rFonts w:cs="Times New Roman" w:eastAsiaTheme="minorEastAsia"/>
            <w:sz w:val="28"/>
            <w:szCs w:val="28"/>
          </w:rPr>
        </w:r>
        <w:r>
          <w:rPr>
            <w:rFonts w:cs="Times New Roman" w:eastAsiaTheme="minorEastAsia"/>
            <w:sz w:val="28"/>
            <w:szCs w:val="28"/>
          </w:rPr>
          <w:fldChar w:fldCharType="separate"/>
        </w:r>
        <w:r>
          <w:rPr>
            <w:rFonts w:cs="Times New Roman" w:eastAsiaTheme="minorEastAsia"/>
            <w:sz w:val="28"/>
            <w:szCs w:val="28"/>
          </w:rPr>
          <w:t xml:space="preserve">4</w:t>
        </w:r>
        <w:r>
          <w:rPr>
            <w:rFonts w:cs="Times New Roman" w:eastAsiaTheme="minorEastAsia"/>
            <w:sz w:val="28"/>
            <w:szCs w:val="28"/>
          </w:rPr>
          <w:fldChar w:fldCharType="end"/>
        </w:r>
      </w:hyperlink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r>
        <w:t xml:space="preserve">          1.3. Цель оказания услуг</w:t>
      </w:r>
      <w:r/>
    </w:p>
    <w:p>
      <w:pPr>
        <w:pStyle w:val="949"/>
        <w:tabs>
          <w:tab w:val="right" w:pos="9911" w:leader="dot"/>
        </w:tabs>
        <w:rPr>
          <w:rFonts w:cs="Times New Roman"/>
          <w:b w:val="0"/>
          <w:bCs w:val="0"/>
          <w:sz w:val="28"/>
          <w:szCs w:val="28"/>
        </w:rPr>
      </w:pPr>
      <w:r/>
      <w:hyperlink w:tooltip="#_Toc54643699" w:anchor="_Toc54643699" w:history="1">
        <w:r>
          <w:rPr>
            <w:rStyle w:val="951"/>
            <w:rFonts w:cs="Times New Roman" w:eastAsiaTheme="minorEastAsia"/>
            <w:sz w:val="28"/>
            <w:szCs w:val="28"/>
          </w:rPr>
          <w:t xml:space="preserve">Таблица 1. Перечень объектов заказчика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Fonts w:cs="Times New Roman" w:eastAsiaTheme="minorEastAsia"/>
            <w:sz w:val="28"/>
            <w:szCs w:val="28"/>
          </w:rPr>
          <w:fldChar w:fldCharType="begin"/>
        </w:r>
        <w:r>
          <w:rPr>
            <w:rFonts w:cs="Times New Roman" w:eastAsiaTheme="minorEastAsia"/>
            <w:sz w:val="28"/>
            <w:szCs w:val="28"/>
          </w:rPr>
          <w:instrText xml:space="preserve"> PAGEREF _Toc54643699 \h </w:instrText>
        </w:r>
        <w:r>
          <w:rPr>
            <w:rFonts w:cs="Times New Roman" w:eastAsiaTheme="minorEastAsia"/>
            <w:sz w:val="28"/>
            <w:szCs w:val="28"/>
          </w:rPr>
        </w:r>
        <w:r>
          <w:rPr>
            <w:rFonts w:cs="Times New Roman" w:eastAsiaTheme="minorEastAsia"/>
            <w:sz w:val="28"/>
            <w:szCs w:val="28"/>
          </w:rPr>
          <w:fldChar w:fldCharType="separate"/>
        </w:r>
        <w:r>
          <w:rPr>
            <w:rFonts w:cs="Times New Roman" w:eastAsiaTheme="minorEastAsia"/>
            <w:b w:val="0"/>
            <w:bCs w:val="0"/>
            <w:sz w:val="28"/>
            <w:szCs w:val="28"/>
          </w:rPr>
          <w:t xml:space="preserve">4.</w:t>
        </w:r>
        <w:r>
          <w:rPr>
            <w:rFonts w:cs="Times New Roman" w:eastAsiaTheme="minorEastAsia"/>
            <w:sz w:val="28"/>
            <w:szCs w:val="28"/>
          </w:rPr>
          <w:fldChar w:fldCharType="end"/>
        </w:r>
      </w:hyperlink>
      <w:r>
        <w:rPr>
          <w:rFonts w:cs="Times New Roman"/>
          <w:b w:val="0"/>
          <w:bCs w:val="0"/>
          <w:sz w:val="28"/>
          <w:szCs w:val="28"/>
        </w:rPr>
      </w:r>
      <w:r>
        <w:rPr>
          <w:rFonts w:cs="Times New Roman"/>
          <w:b w:val="0"/>
          <w:bCs w:val="0"/>
          <w:sz w:val="28"/>
          <w:szCs w:val="28"/>
        </w:rPr>
      </w:r>
    </w:p>
    <w:p>
      <w:pPr>
        <w:pStyle w:val="962"/>
        <w:rPr>
          <w:rFonts w:cs="Times New Roman"/>
          <w:sz w:val="28"/>
          <w:szCs w:val="28"/>
        </w:rPr>
      </w:pPr>
      <w:r/>
      <w:hyperlink w:tooltip="#_Toc54643700" w:anchor="_Toc54643700" w:history="1">
        <w:r>
          <w:rPr>
            <w:rStyle w:val="951"/>
            <w:rFonts w:cs="Times New Roman" w:eastAsiaTheme="minorEastAsia"/>
            <w:sz w:val="28"/>
            <w:szCs w:val="28"/>
          </w:rPr>
          <w:t xml:space="preserve">1.3.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Style w:val="951"/>
            <w:rFonts w:cs="Times New Roman" w:eastAsiaTheme="minorEastAsia"/>
            <w:sz w:val="28"/>
            <w:szCs w:val="28"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Fonts w:cs="Times New Roman" w:eastAsiaTheme="minorEastAsia"/>
            <w:sz w:val="28"/>
            <w:szCs w:val="28"/>
          </w:rPr>
          <w:fldChar w:fldCharType="begin"/>
        </w:r>
        <w:r>
          <w:rPr>
            <w:rFonts w:cs="Times New Roman" w:eastAsiaTheme="minorEastAsia"/>
            <w:sz w:val="28"/>
            <w:szCs w:val="28"/>
          </w:rPr>
          <w:instrText xml:space="preserve"> PAGEREF _Toc54643700 \h </w:instrText>
        </w:r>
        <w:r>
          <w:rPr>
            <w:rFonts w:cs="Times New Roman" w:eastAsiaTheme="minorEastAsia"/>
            <w:sz w:val="28"/>
            <w:szCs w:val="28"/>
          </w:rPr>
        </w:r>
        <w:r>
          <w:rPr>
            <w:rFonts w:cs="Times New Roman" w:eastAsiaTheme="minorEastAsia"/>
            <w:sz w:val="28"/>
            <w:szCs w:val="28"/>
          </w:rPr>
          <w:fldChar w:fldCharType="separate"/>
        </w:r>
        <w:r>
          <w:rPr>
            <w:rFonts w:cs="Times New Roman" w:eastAsiaTheme="minorEastAsia"/>
            <w:sz w:val="28"/>
            <w:szCs w:val="28"/>
          </w:rPr>
          <w:t xml:space="preserve">4</w:t>
        </w:r>
        <w:r>
          <w:rPr>
            <w:rFonts w:cs="Times New Roman" w:eastAsiaTheme="minorEastAsia"/>
            <w:sz w:val="28"/>
            <w:szCs w:val="28"/>
          </w:rPr>
          <w:fldChar w:fldCharType="end"/>
        </w:r>
      </w:hyperlink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949"/>
        <w:tabs>
          <w:tab w:val="left" w:pos="560" w:leader="none"/>
          <w:tab w:val="right" w:pos="9911" w:leader="dot"/>
        </w:tabs>
        <w:rPr>
          <w:rFonts w:cs="Times New Roman"/>
          <w:b w:val="0"/>
          <w:bCs w:val="0"/>
          <w:sz w:val="28"/>
          <w:szCs w:val="28"/>
        </w:rPr>
      </w:pPr>
      <w:r/>
      <w:hyperlink w:tooltip="#_Toc54643702" w:anchor="_Toc54643702" w:history="1">
        <w:r>
          <w:rPr>
            <w:rStyle w:val="951"/>
            <w:rFonts w:cs="Times New Roman" w:eastAsiaTheme="minorEastAsia"/>
            <w:sz w:val="28"/>
            <w:szCs w:val="28"/>
          </w:rPr>
          <w:t xml:space="preserve">2.</w:t>
        </w:r>
        <w:r>
          <w:rPr>
            <w:rFonts w:cs="Times New Roman" w:eastAsiaTheme="minorEastAsia"/>
            <w:b w:val="0"/>
            <w:bCs w:val="0"/>
            <w:sz w:val="28"/>
            <w:szCs w:val="28"/>
          </w:rPr>
          <w:tab/>
        </w:r>
        <w:r>
          <w:rPr>
            <w:rStyle w:val="951"/>
            <w:rFonts w:cs="Times New Roman" w:eastAsiaTheme="minorEastAsia"/>
            <w:sz w:val="28"/>
            <w:szCs w:val="28"/>
          </w:rPr>
          <w:t xml:space="preserve">Требования к продукции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Fonts w:cs="Times New Roman" w:eastAsiaTheme="minorEastAsia"/>
            <w:sz w:val="28"/>
            <w:szCs w:val="28"/>
          </w:rPr>
          <w:fldChar w:fldCharType="begin"/>
        </w:r>
        <w:r>
          <w:rPr>
            <w:rFonts w:cs="Times New Roman" w:eastAsiaTheme="minorEastAsia"/>
            <w:sz w:val="28"/>
            <w:szCs w:val="28"/>
          </w:rPr>
          <w:instrText xml:space="preserve"> PAGEREF _Toc54643702 \h </w:instrText>
        </w:r>
        <w:r>
          <w:rPr>
            <w:rFonts w:cs="Times New Roman" w:eastAsiaTheme="minorEastAsia"/>
            <w:sz w:val="28"/>
            <w:szCs w:val="28"/>
          </w:rPr>
        </w:r>
        <w:r>
          <w:rPr>
            <w:rFonts w:cs="Times New Roman" w:eastAsiaTheme="minorEastAsia"/>
            <w:sz w:val="28"/>
            <w:szCs w:val="28"/>
          </w:rPr>
          <w:fldChar w:fldCharType="separate"/>
        </w:r>
        <w:r>
          <w:rPr>
            <w:rFonts w:cs="Times New Roman" w:eastAsiaTheme="minorEastAsia"/>
            <w:sz w:val="28"/>
            <w:szCs w:val="28"/>
          </w:rPr>
          <w:t xml:space="preserve">4</w:t>
        </w:r>
        <w:r>
          <w:rPr>
            <w:rFonts w:cs="Times New Roman" w:eastAsiaTheme="minorEastAsia"/>
            <w:sz w:val="28"/>
            <w:szCs w:val="28"/>
          </w:rPr>
          <w:fldChar w:fldCharType="end"/>
        </w:r>
      </w:hyperlink>
      <w:r>
        <w:rPr>
          <w:rFonts w:cs="Times New Roman"/>
          <w:b w:val="0"/>
          <w:bCs w:val="0"/>
          <w:sz w:val="28"/>
          <w:szCs w:val="28"/>
        </w:rPr>
      </w:r>
      <w:r>
        <w:rPr>
          <w:rFonts w:cs="Times New Roman"/>
          <w:b w:val="0"/>
          <w:bCs w:val="0"/>
          <w:sz w:val="28"/>
          <w:szCs w:val="28"/>
        </w:rPr>
      </w:r>
    </w:p>
    <w:p>
      <w:pPr>
        <w:pStyle w:val="962"/>
        <w:rPr>
          <w:rFonts w:cs="Times New Roman"/>
          <w:sz w:val="28"/>
          <w:szCs w:val="28"/>
        </w:rPr>
      </w:pPr>
      <w:r/>
      <w:hyperlink w:tooltip="#_Toc54643703" w:anchor="_Toc54643703" w:history="1">
        <w:r>
          <w:rPr>
            <w:rStyle w:val="951"/>
            <w:rFonts w:cs="Times New Roman" w:eastAsiaTheme="minorEastAsia"/>
            <w:sz w:val="28"/>
            <w:szCs w:val="28"/>
          </w:rPr>
          <w:t xml:space="preserve">2.1.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Style w:val="951"/>
            <w:rFonts w:cs="Times New Roman" w:eastAsiaTheme="minorEastAsia"/>
            <w:sz w:val="28"/>
            <w:szCs w:val="28"/>
          </w:rPr>
          <w:t xml:space="preserve">Требования к объемам и срокам оказания услуг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Fonts w:cs="Times New Roman" w:eastAsiaTheme="minorEastAsia"/>
            <w:sz w:val="28"/>
            <w:szCs w:val="28"/>
          </w:rPr>
          <w:fldChar w:fldCharType="begin"/>
        </w:r>
        <w:r>
          <w:rPr>
            <w:rFonts w:cs="Times New Roman" w:eastAsiaTheme="minorEastAsia"/>
            <w:sz w:val="28"/>
            <w:szCs w:val="28"/>
          </w:rPr>
          <w:instrText xml:space="preserve"> PAGEREF _Toc54643703 \h </w:instrText>
        </w:r>
        <w:r>
          <w:rPr>
            <w:rFonts w:cs="Times New Roman" w:eastAsiaTheme="minorEastAsia"/>
            <w:sz w:val="28"/>
            <w:szCs w:val="28"/>
          </w:rPr>
        </w:r>
        <w:r>
          <w:rPr>
            <w:rFonts w:cs="Times New Roman" w:eastAsiaTheme="minorEastAsia"/>
            <w:sz w:val="28"/>
            <w:szCs w:val="28"/>
          </w:rPr>
          <w:fldChar w:fldCharType="separate"/>
        </w:r>
        <w:r>
          <w:rPr>
            <w:rFonts w:cs="Times New Roman" w:eastAsiaTheme="minorEastAsia"/>
            <w:sz w:val="28"/>
            <w:szCs w:val="28"/>
          </w:rPr>
          <w:t xml:space="preserve">4</w:t>
        </w:r>
        <w:r>
          <w:rPr>
            <w:rFonts w:cs="Times New Roman" w:eastAsiaTheme="minorEastAsia"/>
            <w:sz w:val="28"/>
            <w:szCs w:val="28"/>
          </w:rPr>
          <w:fldChar w:fldCharType="end"/>
        </w:r>
      </w:hyperlink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950"/>
        <w:tabs>
          <w:tab w:val="left" w:pos="1120" w:leader="none"/>
          <w:tab w:val="right" w:pos="9911" w:leader="dot"/>
        </w:tabs>
        <w:rPr>
          <w:rFonts w:cs="Times New Roman"/>
          <w:sz w:val="28"/>
          <w:szCs w:val="28"/>
        </w:rPr>
      </w:pPr>
      <w:r/>
      <w:hyperlink w:tooltip="#_Toc54643704" w:anchor="_Toc54643704" w:history="1">
        <w:r>
          <w:rPr>
            <w:rStyle w:val="951"/>
            <w:rFonts w:cs="Times New Roman" w:eastAsiaTheme="minorEastAsia"/>
            <w:sz w:val="28"/>
            <w:szCs w:val="28"/>
          </w:rPr>
          <w:t xml:space="preserve">2.1.1.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Style w:val="951"/>
            <w:rFonts w:cs="Times New Roman" w:eastAsiaTheme="minorEastAsia"/>
            <w:sz w:val="28"/>
            <w:szCs w:val="28"/>
          </w:rPr>
          <w:t xml:space="preserve">Требования к перечню и объему услуг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Fonts w:cs="Times New Roman" w:eastAsiaTheme="minorEastAsia"/>
            <w:sz w:val="28"/>
            <w:szCs w:val="28"/>
          </w:rPr>
          <w:fldChar w:fldCharType="begin"/>
        </w:r>
        <w:r>
          <w:rPr>
            <w:rFonts w:cs="Times New Roman" w:eastAsiaTheme="minorEastAsia"/>
            <w:sz w:val="28"/>
            <w:szCs w:val="28"/>
          </w:rPr>
          <w:instrText xml:space="preserve"> PAGEREF _Toc5</w:instrText>
        </w:r>
        <w:r>
          <w:rPr>
            <w:rFonts w:cs="Times New Roman" w:eastAsiaTheme="minorEastAsia"/>
            <w:sz w:val="28"/>
            <w:szCs w:val="28"/>
          </w:rPr>
          <w:instrText xml:space="preserve">4643704 \h </w:instrText>
        </w:r>
        <w:r>
          <w:rPr>
            <w:rFonts w:cs="Times New Roman" w:eastAsiaTheme="minorEastAsia"/>
            <w:sz w:val="28"/>
            <w:szCs w:val="28"/>
          </w:rPr>
        </w:r>
        <w:r>
          <w:rPr>
            <w:rFonts w:cs="Times New Roman" w:eastAsiaTheme="minorEastAsia"/>
            <w:sz w:val="28"/>
            <w:szCs w:val="28"/>
          </w:rPr>
          <w:fldChar w:fldCharType="separate"/>
        </w:r>
        <w:r>
          <w:rPr>
            <w:rFonts w:cs="Times New Roman" w:eastAsiaTheme="minorEastAsia"/>
            <w:sz w:val="28"/>
            <w:szCs w:val="28"/>
          </w:rPr>
          <w:t xml:space="preserve">4</w:t>
        </w:r>
        <w:r>
          <w:rPr>
            <w:rFonts w:cs="Times New Roman" w:eastAsiaTheme="minorEastAsia"/>
            <w:sz w:val="28"/>
            <w:szCs w:val="28"/>
          </w:rPr>
          <w:fldChar w:fldCharType="end"/>
        </w:r>
      </w:hyperlink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949"/>
        <w:tabs>
          <w:tab w:val="right" w:pos="9911" w:leader="dot"/>
        </w:tabs>
        <w:rPr>
          <w:rFonts w:cs="Times New Roman"/>
          <w:b w:val="0"/>
          <w:bCs w:val="0"/>
          <w:sz w:val="28"/>
          <w:szCs w:val="28"/>
        </w:rPr>
      </w:pPr>
      <w:r/>
      <w:hyperlink w:tooltip="#_Toc54643705" w:anchor="_Toc54643705" w:history="1">
        <w:r>
          <w:rPr>
            <w:rStyle w:val="951"/>
            <w:rFonts w:cs="Times New Roman" w:eastAsiaTheme="minorEastAsia"/>
            <w:sz w:val="28"/>
            <w:szCs w:val="28"/>
          </w:rPr>
          <w:t xml:space="preserve">Таблица 2. Перечень и объем оказываемых услуг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Fonts w:cs="Times New Roman" w:eastAsiaTheme="minorEastAsia"/>
            <w:sz w:val="28"/>
            <w:szCs w:val="28"/>
          </w:rPr>
          <w:fldChar w:fldCharType="begin"/>
        </w:r>
        <w:r>
          <w:rPr>
            <w:rFonts w:cs="Times New Roman" w:eastAsiaTheme="minorEastAsia"/>
            <w:sz w:val="28"/>
            <w:szCs w:val="28"/>
          </w:rPr>
          <w:instrText xml:space="preserve"> PAGEREF _Toc54643705 \h </w:instrText>
        </w:r>
        <w:r>
          <w:rPr>
            <w:rFonts w:cs="Times New Roman" w:eastAsiaTheme="minorEastAsia"/>
            <w:sz w:val="28"/>
            <w:szCs w:val="28"/>
          </w:rPr>
        </w:r>
        <w:r>
          <w:rPr>
            <w:rFonts w:cs="Times New Roman" w:eastAsiaTheme="minorEastAsia"/>
            <w:sz w:val="28"/>
            <w:szCs w:val="28"/>
          </w:rPr>
          <w:fldChar w:fldCharType="separate"/>
        </w:r>
        <w:r>
          <w:rPr>
            <w:rFonts w:cs="Times New Roman" w:eastAsiaTheme="minorEastAsia"/>
            <w:sz w:val="28"/>
            <w:szCs w:val="28"/>
          </w:rPr>
          <w:t xml:space="preserve">4</w:t>
        </w:r>
        <w:r>
          <w:rPr>
            <w:rFonts w:cs="Times New Roman" w:eastAsiaTheme="minorEastAsia"/>
            <w:sz w:val="28"/>
            <w:szCs w:val="28"/>
          </w:rPr>
          <w:fldChar w:fldCharType="end"/>
        </w:r>
      </w:hyperlink>
      <w:r>
        <w:rPr>
          <w:rFonts w:cs="Times New Roman"/>
          <w:b w:val="0"/>
          <w:bCs w:val="0"/>
          <w:sz w:val="28"/>
          <w:szCs w:val="28"/>
        </w:rPr>
      </w:r>
      <w:r>
        <w:rPr>
          <w:rFonts w:cs="Times New Roman"/>
          <w:b w:val="0"/>
          <w:bCs w:val="0"/>
          <w:sz w:val="28"/>
          <w:szCs w:val="28"/>
        </w:rPr>
      </w:r>
    </w:p>
    <w:p>
      <w:pPr>
        <w:pStyle w:val="950"/>
        <w:tabs>
          <w:tab w:val="left" w:pos="1120" w:leader="none"/>
          <w:tab w:val="right" w:pos="9911" w:leader="dot"/>
        </w:tabs>
        <w:rPr>
          <w:rFonts w:cs="Times New Roman"/>
          <w:sz w:val="28"/>
          <w:szCs w:val="28"/>
        </w:rPr>
      </w:pPr>
      <w:r/>
      <w:hyperlink w:tooltip="#_Toc54643706" w:anchor="_Toc54643706" w:history="1">
        <w:r>
          <w:rPr>
            <w:rStyle w:val="951"/>
            <w:rFonts w:cs="Times New Roman" w:eastAsiaTheme="minorEastAsia"/>
            <w:sz w:val="28"/>
            <w:szCs w:val="28"/>
          </w:rPr>
          <w:t xml:space="preserve">2.1.2.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Style w:val="951"/>
            <w:rFonts w:cs="Times New Roman" w:eastAsiaTheme="minorEastAsia"/>
            <w:sz w:val="28"/>
            <w:szCs w:val="28"/>
          </w:rPr>
          <w:t xml:space="preserve">Требования к срокам оказания услуг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Fonts w:cs="Times New Roman" w:eastAsiaTheme="minorEastAsia"/>
            <w:sz w:val="28"/>
            <w:szCs w:val="28"/>
          </w:rPr>
          <w:fldChar w:fldCharType="begin"/>
        </w:r>
        <w:r>
          <w:rPr>
            <w:rFonts w:cs="Times New Roman" w:eastAsiaTheme="minorEastAsia"/>
            <w:sz w:val="28"/>
            <w:szCs w:val="28"/>
          </w:rPr>
          <w:instrText xml:space="preserve"> PAGEREF _Toc54643706 \h </w:instrText>
        </w:r>
        <w:r>
          <w:rPr>
            <w:rFonts w:cs="Times New Roman" w:eastAsiaTheme="minorEastAsia"/>
            <w:sz w:val="28"/>
            <w:szCs w:val="28"/>
          </w:rPr>
        </w:r>
        <w:r>
          <w:rPr>
            <w:rFonts w:cs="Times New Roman" w:eastAsiaTheme="minorEastAsia"/>
            <w:sz w:val="28"/>
            <w:szCs w:val="28"/>
          </w:rPr>
          <w:fldChar w:fldCharType="separate"/>
        </w:r>
        <w:r>
          <w:rPr>
            <w:rFonts w:cs="Times New Roman" w:eastAsiaTheme="minorEastAsia"/>
            <w:sz w:val="28"/>
            <w:szCs w:val="28"/>
          </w:rPr>
          <w:t xml:space="preserve">4</w:t>
        </w:r>
        <w:r>
          <w:rPr>
            <w:rFonts w:cs="Times New Roman" w:eastAsiaTheme="minorEastAsia"/>
            <w:sz w:val="28"/>
            <w:szCs w:val="28"/>
          </w:rPr>
          <w:fldChar w:fldCharType="end"/>
        </w:r>
      </w:hyperlink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949"/>
        <w:tabs>
          <w:tab w:val="right" w:pos="9911" w:leader="dot"/>
        </w:tabs>
        <w:rPr>
          <w:rFonts w:cs="Times New Roman"/>
          <w:b w:val="0"/>
          <w:bCs w:val="0"/>
          <w:sz w:val="28"/>
          <w:szCs w:val="28"/>
        </w:rPr>
      </w:pPr>
      <w:r/>
      <w:hyperlink w:tooltip="#_Toc54643707" w:anchor="_Toc54643707" w:history="1">
        <w:r>
          <w:rPr>
            <w:rStyle w:val="951"/>
            <w:rFonts w:cs="Times New Roman" w:eastAsiaTheme="minorEastAsia"/>
            <w:sz w:val="28"/>
            <w:szCs w:val="28"/>
          </w:rPr>
          <w:t xml:space="preserve">Таблица 3. Требования</w:t>
        </w:r>
        <w:r>
          <w:rPr>
            <w:rStyle w:val="951"/>
            <w:rFonts w:cs="Times New Roman" w:eastAsiaTheme="minorEastAsia"/>
            <w:sz w:val="28"/>
            <w:szCs w:val="28"/>
          </w:rPr>
          <w:t xml:space="preserve"> к срокам оказания услуг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Fonts w:cs="Times New Roman" w:eastAsiaTheme="minorEastAsia"/>
            <w:sz w:val="28"/>
            <w:szCs w:val="28"/>
          </w:rPr>
          <w:fldChar w:fldCharType="begin"/>
        </w:r>
        <w:r>
          <w:rPr>
            <w:rFonts w:cs="Times New Roman" w:eastAsiaTheme="minorEastAsia"/>
            <w:sz w:val="28"/>
            <w:szCs w:val="28"/>
          </w:rPr>
          <w:instrText xml:space="preserve"> PAGEREF _Toc54643707 \h </w:instrText>
        </w:r>
        <w:r>
          <w:rPr>
            <w:rFonts w:cs="Times New Roman" w:eastAsiaTheme="minorEastAsia"/>
            <w:sz w:val="28"/>
            <w:szCs w:val="28"/>
          </w:rPr>
        </w:r>
        <w:r>
          <w:rPr>
            <w:rFonts w:cs="Times New Roman" w:eastAsiaTheme="minorEastAsia"/>
            <w:sz w:val="28"/>
            <w:szCs w:val="28"/>
          </w:rPr>
          <w:fldChar w:fldCharType="separate"/>
        </w:r>
        <w:r>
          <w:rPr>
            <w:rFonts w:cs="Times New Roman" w:eastAsiaTheme="minorEastAsia"/>
            <w:sz w:val="28"/>
            <w:szCs w:val="28"/>
          </w:rPr>
          <w:t xml:space="preserve">4</w:t>
        </w:r>
        <w:r>
          <w:rPr>
            <w:rFonts w:cs="Times New Roman" w:eastAsiaTheme="minorEastAsia"/>
            <w:sz w:val="28"/>
            <w:szCs w:val="28"/>
          </w:rPr>
          <w:fldChar w:fldCharType="end"/>
        </w:r>
      </w:hyperlink>
      <w:r>
        <w:rPr>
          <w:rFonts w:cs="Times New Roman"/>
          <w:b w:val="0"/>
          <w:bCs w:val="0"/>
          <w:sz w:val="28"/>
          <w:szCs w:val="28"/>
        </w:rPr>
      </w:r>
      <w:r>
        <w:rPr>
          <w:rFonts w:cs="Times New Roman"/>
          <w:b w:val="0"/>
          <w:bCs w:val="0"/>
          <w:sz w:val="28"/>
          <w:szCs w:val="28"/>
        </w:rPr>
      </w:r>
    </w:p>
    <w:p>
      <w:pPr>
        <w:pStyle w:val="962"/>
        <w:rPr>
          <w:rFonts w:cs="Times New Roman"/>
          <w:sz w:val="28"/>
          <w:szCs w:val="28"/>
        </w:rPr>
      </w:pPr>
      <w:r/>
      <w:hyperlink w:tooltip="#_Toc54643708" w:anchor="_Toc54643708" w:history="1">
        <w:r>
          <w:rPr>
            <w:rStyle w:val="951"/>
            <w:rFonts w:cs="Times New Roman" w:eastAsiaTheme="minorEastAsia"/>
            <w:sz w:val="28"/>
            <w:szCs w:val="28"/>
          </w:rPr>
          <w:t xml:space="preserve">2.2.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Style w:val="951"/>
            <w:rFonts w:cs="Times New Roman" w:eastAsiaTheme="minorEastAsia"/>
            <w:sz w:val="28"/>
            <w:szCs w:val="28"/>
          </w:rPr>
          <w:t xml:space="preserve">Требования к качеству услуг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Fonts w:cs="Times New Roman" w:eastAsiaTheme="minorEastAsia"/>
            <w:sz w:val="28"/>
            <w:szCs w:val="28"/>
          </w:rPr>
          <w:fldChar w:fldCharType="begin"/>
        </w:r>
        <w:r>
          <w:rPr>
            <w:rFonts w:cs="Times New Roman" w:eastAsiaTheme="minorEastAsia"/>
            <w:sz w:val="28"/>
            <w:szCs w:val="28"/>
          </w:rPr>
          <w:instrText xml:space="preserve"> PAGEREF _Toc54643708 \h </w:instrText>
        </w:r>
        <w:r>
          <w:rPr>
            <w:rFonts w:cs="Times New Roman" w:eastAsiaTheme="minorEastAsia"/>
            <w:sz w:val="28"/>
            <w:szCs w:val="28"/>
          </w:rPr>
        </w:r>
        <w:r>
          <w:rPr>
            <w:rFonts w:cs="Times New Roman" w:eastAsiaTheme="minorEastAsia"/>
            <w:sz w:val="28"/>
            <w:szCs w:val="28"/>
          </w:rPr>
          <w:fldChar w:fldCharType="separate"/>
        </w:r>
        <w:r>
          <w:rPr>
            <w:rFonts w:cs="Times New Roman" w:eastAsiaTheme="minorEastAsia"/>
            <w:sz w:val="28"/>
            <w:szCs w:val="28"/>
          </w:rPr>
          <w:t xml:space="preserve">5</w:t>
        </w:r>
        <w:r>
          <w:rPr>
            <w:rFonts w:cs="Times New Roman" w:eastAsiaTheme="minorEastAsia"/>
            <w:sz w:val="28"/>
            <w:szCs w:val="28"/>
          </w:rPr>
          <w:fldChar w:fldCharType="end"/>
        </w:r>
      </w:hyperlink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949"/>
        <w:tabs>
          <w:tab w:val="right" w:pos="9911" w:leader="dot"/>
        </w:tabs>
        <w:rPr>
          <w:rFonts w:cs="Times New Roman"/>
          <w:b w:val="0"/>
          <w:bCs w:val="0"/>
          <w:sz w:val="28"/>
          <w:szCs w:val="28"/>
        </w:rPr>
      </w:pPr>
      <w:r/>
      <w:hyperlink w:tooltip="#_Toc54643709" w:anchor="_Toc54643709" w:history="1">
        <w:r>
          <w:rPr>
            <w:rStyle w:val="951"/>
            <w:rFonts w:cs="Times New Roman" w:eastAsiaTheme="minorEastAsia"/>
            <w:sz w:val="28"/>
            <w:szCs w:val="28"/>
          </w:rPr>
          <w:t xml:space="preserve">Таблица 4. Требования к качеству услуг</w:t>
        </w:r>
        <w:r>
          <w:rPr>
            <w:rFonts w:cs="Times New Roman" w:eastAsiaTheme="minorEastAsia"/>
            <w:sz w:val="28"/>
            <w:szCs w:val="28"/>
          </w:rPr>
          <w:tab/>
        </w:r>
        <w:r>
          <w:rPr>
            <w:rFonts w:cs="Times New Roman" w:eastAsiaTheme="minorEastAsia"/>
            <w:sz w:val="28"/>
            <w:szCs w:val="28"/>
          </w:rPr>
          <w:fldChar w:fldCharType="begin"/>
        </w:r>
        <w:r>
          <w:rPr>
            <w:rFonts w:cs="Times New Roman" w:eastAsiaTheme="minorEastAsia"/>
            <w:sz w:val="28"/>
            <w:szCs w:val="28"/>
          </w:rPr>
          <w:instrText xml:space="preserve"> PAGEREF _Toc54643709 \h </w:instrText>
        </w:r>
        <w:r>
          <w:rPr>
            <w:rFonts w:cs="Times New Roman" w:eastAsiaTheme="minorEastAsia"/>
            <w:sz w:val="28"/>
            <w:szCs w:val="28"/>
          </w:rPr>
        </w:r>
        <w:r>
          <w:rPr>
            <w:rFonts w:cs="Times New Roman" w:eastAsiaTheme="minorEastAsia"/>
            <w:sz w:val="28"/>
            <w:szCs w:val="28"/>
          </w:rPr>
          <w:fldChar w:fldCharType="separate"/>
        </w:r>
        <w:r>
          <w:rPr>
            <w:rFonts w:cs="Times New Roman" w:eastAsiaTheme="minorEastAsia"/>
            <w:sz w:val="28"/>
            <w:szCs w:val="28"/>
          </w:rPr>
          <w:t xml:space="preserve">5</w:t>
        </w:r>
        <w:r>
          <w:rPr>
            <w:rFonts w:cs="Times New Roman" w:eastAsiaTheme="minorEastAsia"/>
            <w:sz w:val="28"/>
            <w:szCs w:val="28"/>
          </w:rPr>
          <w:fldChar w:fldCharType="end"/>
        </w:r>
      </w:hyperlink>
      <w:r>
        <w:rPr>
          <w:rFonts w:cs="Times New Roman"/>
          <w:b w:val="0"/>
          <w:bCs w:val="0"/>
          <w:sz w:val="28"/>
          <w:szCs w:val="28"/>
        </w:rPr>
      </w:r>
      <w:r>
        <w:rPr>
          <w:rFonts w:cs="Times New Roman"/>
          <w:b w:val="0"/>
          <w:bCs w:val="0"/>
          <w:sz w:val="28"/>
          <w:szCs w:val="28"/>
        </w:rPr>
      </w:r>
    </w:p>
    <w:p>
      <w:pPr>
        <w:pStyle w:val="949"/>
        <w:tabs>
          <w:tab w:val="right" w:pos="9911" w:leader="dot"/>
        </w:tabs>
        <w:rPr>
          <w:rFonts w:cs="Times New Roman"/>
          <w:b w:val="0"/>
          <w:bCs w:val="0"/>
          <w:sz w:val="28"/>
          <w:szCs w:val="28"/>
        </w:rPr>
      </w:pPr>
      <w:r>
        <w:rPr>
          <w:rFonts w:cs="Times New Roman"/>
          <w:b w:val="0"/>
          <w:bCs w:val="0"/>
          <w:sz w:val="28"/>
          <w:szCs w:val="28"/>
        </w:rPr>
      </w:r>
      <w:r>
        <w:rPr>
          <w:rFonts w:cs="Times New Roman"/>
          <w:b w:val="0"/>
          <w:bCs w:val="0"/>
          <w:sz w:val="28"/>
          <w:szCs w:val="28"/>
        </w:rPr>
      </w:r>
      <w:r>
        <w:rPr>
          <w:rFonts w:cs="Times New Roman"/>
          <w:b w:val="0"/>
          <w:bCs w:val="0"/>
          <w:sz w:val="28"/>
          <w:szCs w:val="28"/>
        </w:rPr>
      </w:r>
    </w:p>
    <w:p>
      <w:pPr>
        <w:pStyle w:val="769"/>
        <w:numPr>
          <w:ilvl w:val="0"/>
          <w:numId w:val="0"/>
        </w:numPr>
        <w:rPr>
          <w:b w:val="0"/>
          <w:sz w:val="28"/>
          <w:szCs w:val="28"/>
        </w:rPr>
      </w:pPr>
      <w:r>
        <w:rPr>
          <w:rFonts w:eastAsiaTheme="minorEastAsia"/>
          <w:b w:val="0"/>
          <w:sz w:val="28"/>
          <w:szCs w:val="28"/>
        </w:rPr>
        <w:fldChar w:fldCharType="end"/>
      </w:r>
      <w:r>
        <w:rPr>
          <w:b w:val="0"/>
          <w:sz w:val="28"/>
          <w:szCs w:val="28"/>
        </w:rPr>
      </w:r>
      <w:r>
        <w:rPr>
          <w:b w:val="0"/>
          <w:sz w:val="28"/>
          <w:szCs w:val="28"/>
        </w:rPr>
      </w:r>
    </w:p>
    <w:p>
      <w:pPr>
        <w:jc w:val="center"/>
        <w:keepLines/>
        <w:keepNext/>
        <w:rPr>
          <w:b/>
        </w:rPr>
      </w:pPr>
      <w:r>
        <w:rPr>
          <w:rFonts w:eastAsiaTheme="minorEastAsia"/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pStyle w:val="768"/>
        <w:ind w:left="357" w:hanging="357"/>
        <w:jc w:val="center"/>
        <w:keepLines/>
        <w:rPr>
          <w:caps/>
        </w:rPr>
      </w:pPr>
      <w:r/>
      <w:bookmarkStart w:id="1" w:name="_Toc54643694"/>
      <w:r>
        <w:rPr>
          <w:rFonts w:eastAsiaTheme="minorEastAsia"/>
        </w:rPr>
        <w:t xml:space="preserve">Общие сведения</w:t>
      </w:r>
      <w:bookmarkEnd w:id="1"/>
      <w:r>
        <w:rPr>
          <w:caps/>
        </w:rPr>
      </w:r>
      <w:r>
        <w:rPr>
          <w:caps/>
        </w:rPr>
      </w:r>
    </w:p>
    <w:p>
      <w:pPr>
        <w:pStyle w:val="771"/>
        <w:rPr>
          <w:sz w:val="28"/>
          <w:szCs w:val="28"/>
        </w:rPr>
      </w:pPr>
      <w:r/>
      <w:bookmarkStart w:id="2" w:name="_Toc46743505"/>
      <w:r/>
      <w:bookmarkStart w:id="3" w:name="_Toc54643695"/>
      <w:r>
        <w:rPr>
          <w:rFonts w:eastAsiaTheme="minorEastAsia"/>
          <w:sz w:val="28"/>
          <w:szCs w:val="28"/>
        </w:rPr>
        <w:t xml:space="preserve">Обозначения и сокращения</w:t>
      </w:r>
      <w:bookmarkEnd w:id="2"/>
      <w:r/>
      <w:bookmarkEnd w:id="3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rStyle w:val="1012"/>
          <w:b w:val="0"/>
          <w:bCs/>
          <w:i w:val="0"/>
        </w:rPr>
      </w:pPr>
      <w:r>
        <w:rPr>
          <w:b w:val="0"/>
          <w:bCs/>
          <w:i w:val="0"/>
        </w:rPr>
      </w:r>
      <w:r>
        <w:rPr>
          <w:rStyle w:val="1012"/>
          <w:b w:val="0"/>
          <w:bCs/>
          <w:i w:val="0"/>
        </w:rPr>
      </w:r>
      <w:r>
        <w:rPr>
          <w:rStyle w:val="1012"/>
          <w:b w:val="0"/>
          <w:bCs/>
          <w:i w:val="0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АО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Акционерное общество</w:t>
            </w:r>
            <w:r/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ДГК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Дальневосточная генерирующая компания</w:t>
            </w:r>
            <w:r/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ТТ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Технические требования</w:t>
            </w:r>
            <w:r/>
          </w:p>
        </w:tc>
      </w:tr>
      <w:tr>
        <w:tblPrEx/>
        <w:trPr>
          <w:jc w:val="center"/>
          <w:trHeight w:val="3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ТМ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Тепловая магистраль</w:t>
            </w:r>
            <w:r/>
          </w:p>
        </w:tc>
      </w:tr>
      <w:tr>
        <w:tblPrEx/>
        <w:trPr>
          <w:jc w:val="center"/>
          <w:trHeight w:val="3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СП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Структурное подразделение</w:t>
            </w:r>
            <w:r/>
          </w:p>
        </w:tc>
      </w:tr>
      <w:tr>
        <w:tblPrEx/>
        <w:trPr>
          <w:jc w:val="center"/>
          <w:trHeight w:val="3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ТК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Тепловая камера</w:t>
            </w:r>
            <w:r/>
          </w:p>
        </w:tc>
      </w:tr>
      <w:tr>
        <w:tblPrEx/>
        <w:trPr>
          <w:jc w:val="center"/>
          <w:trHeight w:val="3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шт.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штук</w:t>
            </w:r>
            <w:r/>
          </w:p>
        </w:tc>
      </w:tr>
      <w:tr>
        <w:tblPrEx/>
        <w:trPr>
          <w:jc w:val="center"/>
          <w:trHeight w:val="3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ПТЭ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Правила технической эксплуатации</w:t>
            </w:r>
            <w:r/>
          </w:p>
        </w:tc>
      </w:tr>
      <w:tr>
        <w:tblPrEx/>
        <w:trPr>
          <w:jc w:val="center"/>
          <w:trHeight w:val="3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СРО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Саморегулируемая организация</w:t>
            </w:r>
            <w:r/>
          </w:p>
        </w:tc>
      </w:tr>
      <w:tr>
        <w:tblPrEx/>
        <w:trPr>
          <w:jc w:val="center"/>
          <w:trHeight w:val="3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ТЗ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Техническое задание</w:t>
            </w:r>
            <w:r/>
          </w:p>
        </w:tc>
      </w:tr>
      <w:tr>
        <w:tblPrEx/>
        <w:trPr>
          <w:jc w:val="center"/>
          <w:trHeight w:val="3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*.</w:t>
            </w:r>
            <w:r>
              <w:rPr>
                <w:color w:val="000000"/>
              </w:rPr>
              <w:t xml:space="preserve">dwg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Форма файла электронного документа</w:t>
            </w:r>
            <w:r/>
          </w:p>
        </w:tc>
      </w:tr>
      <w:tr>
        <w:tblPrEx/>
        <w:trPr>
          <w:jc w:val="center"/>
          <w:trHeight w:val="3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*.</w:t>
            </w:r>
            <w:r>
              <w:rPr>
                <w:color w:val="000000"/>
              </w:rPr>
              <w:t xml:space="preserve">doc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формат файлов программы «</w:t>
            </w:r>
            <w:r>
              <w:rPr>
                <w:color w:val="000000"/>
              </w:rPr>
              <w:t xml:space="preserve">Microsoft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Word</w:t>
            </w:r>
            <w:r>
              <w:rPr>
                <w:color w:val="000000"/>
              </w:rPr>
              <w:t xml:space="preserve">»</w:t>
            </w:r>
            <w:r/>
          </w:p>
        </w:tc>
      </w:tr>
      <w:tr>
        <w:tblPrEx/>
        <w:trPr>
          <w:jc w:val="center"/>
          <w:trHeight w:val="3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ФЗ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</w:pPr>
            <w:r>
              <w:rPr>
                <w:color w:val="000000"/>
              </w:rPr>
              <w:t xml:space="preserve">Федеральный закон</w:t>
            </w:r>
            <w:r/>
          </w:p>
        </w:tc>
      </w:tr>
    </w:tbl>
    <w:p>
      <w:pPr>
        <w:jc w:val="both"/>
        <w:keepLines/>
        <w:keepNext/>
      </w:pPr>
      <w:r/>
      <w:r/>
    </w:p>
    <w:p>
      <w:pPr>
        <w:jc w:val="both"/>
        <w:keepLines/>
        <w:keepNext/>
      </w:pPr>
      <w:r/>
      <w:r/>
    </w:p>
    <w:p>
      <w:pPr>
        <w:keepLines/>
        <w:keepNext/>
      </w:pPr>
      <w:r>
        <w:rPr>
          <w:rFonts w:eastAsiaTheme="minorEastAsia"/>
        </w:rPr>
        <w:br w:type="page" w:clear="all"/>
      </w:r>
      <w:bookmarkStart w:id="4" w:name="_Toc46743506"/>
      <w:r/>
      <w:r/>
    </w:p>
    <w:p>
      <w:pPr>
        <w:pStyle w:val="771"/>
        <w:numPr>
          <w:ilvl w:val="0"/>
          <w:numId w:val="0"/>
        </w:numPr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1.2.</w:t>
      </w:r>
      <w:bookmarkStart w:id="5" w:name="_Toc54643696"/>
      <w:r>
        <w:rPr>
          <w:rFonts w:eastAsiaTheme="minorEastAsia"/>
          <w:sz w:val="28"/>
          <w:szCs w:val="28"/>
        </w:rPr>
        <w:t xml:space="preserve">Наименование закупаемой продукции</w:t>
      </w:r>
      <w:bookmarkEnd w:id="4"/>
      <w:r/>
      <w:bookmarkEnd w:id="5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8"/>
        <w:numPr>
          <w:ilvl w:val="0"/>
          <w:numId w:val="0"/>
        </w:numPr>
        <w:ind w:firstLine="708"/>
        <w:jc w:val="both"/>
        <w:keepLines/>
        <w:spacing w:before="240"/>
        <w:rPr>
          <w:b w:val="0"/>
        </w:rPr>
      </w:pPr>
      <w:r>
        <w:rPr>
          <w:rFonts w:eastAsia="Times New Roman"/>
          <w:b w:val="0"/>
          <w:color w:val="000000" w:themeColor="text1"/>
        </w:rPr>
        <w:t xml:space="preserve">«ОКПД2 71.12.35.120 Оказание услуг по проведению топографической съемки реконструируемых участков теплотрасс для Хабаровских тепловых сетей в г. Хабаровске»</w:t>
      </w:r>
      <w:r>
        <w:rPr>
          <w:b w:val="0"/>
        </w:rPr>
      </w:r>
      <w:r>
        <w:rPr>
          <w:b w:val="0"/>
        </w:rPr>
      </w:r>
    </w:p>
    <w:p>
      <w:r/>
      <w:r/>
    </w:p>
    <w:p>
      <w:r>
        <w:rPr>
          <w:b/>
          <w:bCs/>
        </w:rPr>
        <w:t xml:space="preserve">1.3. Цель оказания услуг </w:t>
      </w:r>
      <w:r/>
    </w:p>
    <w:p>
      <w:pPr>
        <w:ind w:firstLine="708"/>
        <w:jc w:val="both"/>
      </w:pPr>
      <w:r>
        <w:t xml:space="preserve">Выполнение исполнительных съемок (М 1:500), исполнительных схем (М 1:500) на топографической основе, продольных профилей (Мг 1:500, </w:t>
      </w:r>
      <w:r>
        <w:t xml:space="preserve">Мв</w:t>
      </w:r>
      <w:r>
        <w:t xml:space="preserve"> 1:100) и каталога координат сооружений реконструируемых участков теплотрасс, </w:t>
      </w:r>
      <w:r>
        <w:t xml:space="preserve">в СП «Хабаровские теп</w:t>
      </w:r>
      <w:r>
        <w:t xml:space="preserve">л</w:t>
      </w:r>
      <w:r>
        <w:t xml:space="preserve">овые сети» АО «ДГК» для согласования с Исполнителем выполнения услуг  и дальнейшей передачи в отдел геолого-геодезической службы, в отдел инженерных сетей Департамента архитектуры, строительства и землепользования, с целью выполнения требований ФЗ от 27.07</w:t>
      </w:r>
      <w:r>
        <w:t xml:space="preserve">.2006 № 149-ФЗ «Об информации, информационных технологиях и о защите информации», также выполнения требований постановления администрации города Хабаровска от 13.08.2018 №2792 «О работе в единой городской системе инженерных коммуникаций (ЕГАСИК) города Хаб</w:t>
      </w:r>
      <w:r>
        <w:t xml:space="preserve">аровска»</w:t>
      </w:r>
      <w:r/>
    </w:p>
    <w:p>
      <w:pPr>
        <w:pStyle w:val="768"/>
        <w:numPr>
          <w:ilvl w:val="0"/>
          <w:numId w:val="0"/>
        </w:numPr>
        <w:keepLines/>
        <w:spacing w:before="240"/>
      </w:pPr>
      <w:r>
        <w:rPr>
          <w:rFonts w:eastAsiaTheme="minorEastAsia"/>
        </w:rPr>
        <w:t xml:space="preserve">1.4. Существующее положение</w:t>
      </w:r>
      <w:r/>
    </w:p>
    <w:p>
      <w:pPr>
        <w:pStyle w:val="768"/>
        <w:numPr>
          <w:ilvl w:val="0"/>
          <w:numId w:val="0"/>
        </w:numPr>
        <w:keepLines/>
        <w:spacing w:before="240"/>
      </w:pPr>
      <w:r>
        <w:rPr>
          <w:rFonts w:eastAsiaTheme="minorEastAsia"/>
        </w:rPr>
        <w:t xml:space="preserve">Таблица 1. Перечень объектов заказчика</w:t>
      </w:r>
      <w:r/>
    </w:p>
    <w:tbl>
      <w:tblPr>
        <w:tblW w:w="99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2409"/>
        <w:gridCol w:w="3402"/>
        <w:gridCol w:w="3542"/>
      </w:tblGrid>
      <w:tr>
        <w:tblPrEx/>
        <w:trPr>
          <w:jc w:val="center"/>
        </w:trPr>
        <w:tc>
          <w:tcPr>
            <w:tcW w:w="5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  <w:t xml:space="preserve">(место оказания услуг)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оказываются услуги)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5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542" w:type="dxa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jc w:val="center"/>
          <w:trHeight w:val="1705"/>
        </w:trPr>
        <w:tc>
          <w:tcPr>
            <w:tcW w:w="565" w:type="dxa"/>
            <w:textDirection w:val="lrTb"/>
            <w:noWrap w:val="false"/>
          </w:tcPr>
          <w:p>
            <w:pPr>
              <w:pStyle w:val="981"/>
              <w:numPr>
                <w:ilvl w:val="0"/>
                <w:numId w:val="35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Участок теплотрассы структурного подразделения СП «Хабаровские тепловые сети» 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Хабаровск, </w:t>
            </w:r>
            <w:r>
              <w:rPr>
                <w:color w:val="000000" w:themeColor="text1"/>
                <w:sz w:val="24"/>
                <w:szCs w:val="24"/>
              </w:rPr>
              <w:t xml:space="preserve">ТМ-17 от ТК 731.04 до ТК 732.07 от СО 06(05-06) до СО 11(06-07) с увеличением диаметра Ду=500мм на Ду=600мм подземного способа прокладки протяженностью L=111 м х 1</w:t>
            </w:r>
            <w:r>
              <w:rPr>
                <w:color w:val="000000" w:themeColor="text1"/>
                <w:sz w:val="24"/>
                <w:szCs w:val="24"/>
              </w:rPr>
              <w:t xml:space="preserve">;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354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ТМ-17 участок от СО 06(05-06) до СО 11(06-07) по ул. Ворошилова;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881"/>
        </w:trPr>
        <w:tc>
          <w:tcPr>
            <w:tcW w:w="565" w:type="dxa"/>
            <w:vMerge w:val="restart"/>
            <w:textDirection w:val="lrTb"/>
            <w:noWrap w:val="false"/>
          </w:tcPr>
          <w:p>
            <w:pPr>
              <w:pStyle w:val="981"/>
              <w:numPr>
                <w:ilvl w:val="0"/>
                <w:numId w:val="35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Участок теплотрассы структурного подразделения СП «Хабаровские тепловые сети» 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Хабаровск,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ТМ-25, от ТЭЦ-2 и ПНС №813 «Прибрежная» блок 814 участок от СО 11(28А-28) до СО 06(27-28А) с увеличением диаметра с Dy = 700 мм на Dy = 1000 мм подземного способа прокладки, протяженностью 744 м х 1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ТМ-25, от ТЭЦ-2 и ПНС №813 «Прибрежная»  участок от СО 11(28А-28) до СО 06(27-28А)- от ПНС №814 вдоль ул. Калинина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881"/>
        </w:trPr>
        <w:tc>
          <w:tcPr>
            <w:tcW w:w="565" w:type="dxa"/>
            <w:vMerge w:val="restart"/>
            <w:textDirection w:val="lrTb"/>
            <w:noWrap w:val="false"/>
          </w:tcPr>
          <w:p>
            <w:pPr>
              <w:pStyle w:val="981"/>
              <w:numPr>
                <w:ilvl w:val="0"/>
                <w:numId w:val="35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Участок теплотрассы структурного подразделения СП «Хабаровские тепловые сети» 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Хабаровск,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ТМ-32 от узла 326 до ТК 328.26 участок от ТК 327.15 до ТК 327.92 блок 327.с увеличением диаметра Ду=800мм на Ду=1000 мм надземного и подземного способа прокладки протяженностью L=161 м х 1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ТМ-32 от узла 326 до ТК 328.26 участок от ТК 327.15 до ТК 327.92 блок 327 – ул. Безымянная – ул. Шелеста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881"/>
        </w:trPr>
        <w:tc>
          <w:tcPr>
            <w:tcW w:w="565" w:type="dxa"/>
            <w:vMerge w:val="restart"/>
            <w:textDirection w:val="lrTb"/>
            <w:noWrap w:val="false"/>
          </w:tcPr>
          <w:p>
            <w:pPr>
              <w:pStyle w:val="981"/>
              <w:numPr>
                <w:ilvl w:val="0"/>
                <w:numId w:val="35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Участок теплотрассы структурного подразделения СП «Хабаровские тепловые сети» 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Хабаровск,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ТМ-33 от УТ-337.07 до УТ-337 участок от СО 05(97-98) до СО 02(98-99) с увеличением существующих диаметров трубопроводов с Ду=700мм на Ду=1000мм подземного способа прокладки протяженностью L=114 м х 1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ТМ-33 от УТ-337.07 до УТ-337 участок от СО 05(97-98) до СО 02(98-99) - ул. Тихоокеанская – ул. Трехгорная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881"/>
        </w:trPr>
        <w:tc>
          <w:tcPr>
            <w:tcW w:w="565" w:type="dxa"/>
            <w:vMerge w:val="restart"/>
            <w:textDirection w:val="lrTb"/>
            <w:noWrap w:val="false"/>
          </w:tcPr>
          <w:p>
            <w:pPr>
              <w:pStyle w:val="981"/>
              <w:numPr>
                <w:ilvl w:val="0"/>
                <w:numId w:val="35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Участок теплотрассы структурного подразделения СП «Хабаровские тепловые сети» 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Хабаровск, </w:t>
            </w:r>
            <w:r>
              <w:rPr>
                <w:color w:val="000000" w:themeColor="text1"/>
                <w:sz w:val="24"/>
                <w:szCs w:val="24"/>
              </w:rPr>
              <w:t xml:space="preserve">ТМ-32 блок 326 Dy = 1000 мм по ул. Совхозной от НО-70 до НО-71 надземной и подземной прокладки, протяженностью 375 м х 1 с системой дренажа Dy = 300 мм протяженностью 46 м х 1;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2" w:type="dxa"/>
            <w:vMerge w:val="restart"/>
            <w:textDirection w:val="lrTb"/>
            <w:noWrap w:val="false"/>
          </w:tcPr>
          <w:p>
            <w:pPr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ТМ-32 блок 326 вдоль ул.Совхозной в районе пер.Брянский, 3;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81"/>
        </w:trPr>
        <w:tc>
          <w:tcPr>
            <w:tcW w:w="565" w:type="dxa"/>
            <w:vMerge w:val="restart"/>
            <w:textDirection w:val="lrTb"/>
            <w:noWrap w:val="false"/>
          </w:tcPr>
          <w:p>
            <w:pPr>
              <w:pStyle w:val="981"/>
              <w:numPr>
                <w:ilvl w:val="0"/>
                <w:numId w:val="35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Участок теплотрассы структурного подразделения СП «Хабаровские тепловые сети» 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г. Хабаровск,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ТМ-31 блок 301 от СО-07(04-05) до СО-03(10-11) Ду=500мм подземной прокладки протяженностью L=1025 м х 1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3542" w:type="dxa"/>
            <w:vMerge w:val="restart"/>
            <w:textDirection w:val="lrTb"/>
            <w:noWrap w:val="false"/>
          </w:tcPr>
          <w:p>
            <w:pPr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ТМ-31 блок 301 Антенный пер., 3 – Санитарный пер., 7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r/>
      <w:r/>
    </w:p>
    <w:p>
      <w:pPr>
        <w:pStyle w:val="771"/>
        <w:jc w:val="both"/>
        <w:rPr>
          <w:sz w:val="28"/>
          <w:szCs w:val="28"/>
        </w:rPr>
      </w:pPr>
      <w:r/>
      <w:bookmarkStart w:id="6" w:name="_Toc46743509"/>
      <w:r/>
      <w:bookmarkStart w:id="7" w:name="_Hlk49857604"/>
      <w:r>
        <w:rPr>
          <w:rFonts w:eastAsiaTheme="minorEastAsia"/>
          <w:sz w:val="28"/>
          <w:szCs w:val="28"/>
        </w:rPr>
        <w:t xml:space="preserve">Информация в отношении исполнения договора, </w:t>
      </w:r>
      <w:bookmarkStart w:id="8" w:name="_Hlk46492347"/>
      <w:r>
        <w:rPr>
          <w:rFonts w:eastAsiaTheme="minorEastAsia"/>
          <w:sz w:val="28"/>
          <w:szCs w:val="28"/>
        </w:rPr>
        <w:t xml:space="preserve">которая должна быть учтена при подготовке заявки </w:t>
      </w:r>
      <w:bookmarkEnd w:id="8"/>
      <w:r>
        <w:rPr>
          <w:rFonts w:eastAsiaTheme="minorEastAsia"/>
          <w:sz w:val="28"/>
          <w:szCs w:val="28"/>
        </w:rPr>
        <w:t xml:space="preserve">(в том числе перечень ресурсов, услуг и документов, предоставляемых заказчиком на этап</w:t>
      </w:r>
      <w:r>
        <w:rPr>
          <w:rFonts w:eastAsiaTheme="minorEastAsia"/>
          <w:sz w:val="28"/>
          <w:szCs w:val="28"/>
        </w:rPr>
        <w:t xml:space="preserve">е исполнения договора)</w:t>
      </w:r>
      <w:bookmarkEnd w:id="6"/>
      <w:r/>
      <w:bookmarkEnd w:id="7"/>
      <w:r>
        <w:rPr>
          <w:rFonts w:eastAsiaTheme="minorEastAsia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</w:pPr>
      <w:r>
        <w:tab/>
        <w:t xml:space="preserve">Заказчик предоставляет Исполнителю исходные данные: техническую и иную документацию, содержащую исходные данные для оказания Исполнителем услуг.</w:t>
      </w:r>
      <w:r>
        <w:tab/>
      </w:r>
      <w:r>
        <w:t xml:space="preserve">Дополнительные исходные данные предоставляются Заказчиком по официальному письменному запросу Исполнителя с указанием перечня необходимых сведений и документов.</w:t>
      </w:r>
      <w:r/>
    </w:p>
    <w:p>
      <w:pPr>
        <w:pStyle w:val="768"/>
        <w:ind w:left="357" w:hanging="357"/>
        <w:jc w:val="center"/>
        <w:keepLines/>
        <w:rPr>
          <w:caps/>
        </w:rPr>
      </w:pPr>
      <w:r/>
      <w:bookmarkStart w:id="9" w:name="_Toc51339693"/>
      <w:r/>
      <w:bookmarkStart w:id="10" w:name="_Toc54643702"/>
      <w:r/>
      <w:bookmarkStart w:id="11" w:name="_Toc50125126"/>
      <w:r/>
      <w:bookmarkStart w:id="12" w:name="_Toc46743510"/>
      <w:r>
        <w:rPr>
          <w:rFonts w:eastAsiaTheme="minorEastAsia"/>
        </w:rPr>
        <w:t xml:space="preserve">Требования к продукции</w:t>
      </w:r>
      <w:bookmarkEnd w:id="9"/>
      <w:r/>
      <w:bookmarkEnd w:id="10"/>
      <w:r>
        <w:rPr>
          <w:caps/>
        </w:rPr>
      </w:r>
      <w:r>
        <w:rPr>
          <w:caps/>
        </w:rPr>
      </w:r>
    </w:p>
    <w:p>
      <w:pPr>
        <w:pStyle w:val="771"/>
        <w:rPr>
          <w:sz w:val="28"/>
          <w:szCs w:val="28"/>
        </w:rPr>
      </w:pPr>
      <w:r/>
      <w:bookmarkStart w:id="13" w:name="_Toc54643703"/>
      <w:r>
        <w:rPr>
          <w:rFonts w:eastAsiaTheme="minorEastAsia"/>
          <w:sz w:val="28"/>
          <w:szCs w:val="28"/>
        </w:rPr>
        <w:t xml:space="preserve">Требования к объемам и срокам оказания услуг</w:t>
      </w:r>
      <w:bookmarkEnd w:id="13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70"/>
        <w:rPr>
          <w:sz w:val="28"/>
          <w:szCs w:val="28"/>
        </w:rPr>
      </w:pPr>
      <w:r/>
      <w:bookmarkStart w:id="14" w:name="_Toc54643704"/>
      <w:r>
        <w:rPr>
          <w:rFonts w:eastAsiaTheme="minorEastAsia"/>
          <w:sz w:val="28"/>
          <w:szCs w:val="28"/>
        </w:rPr>
        <w:t xml:space="preserve">Требования к перечню и объе</w:t>
      </w:r>
      <w:r>
        <w:rPr>
          <w:rFonts w:eastAsiaTheme="minorEastAsia"/>
          <w:sz w:val="28"/>
          <w:szCs w:val="28"/>
        </w:rPr>
        <w:t xml:space="preserve">му услуг</w:t>
      </w:r>
      <w:bookmarkEnd w:id="14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8"/>
        <w:numPr>
          <w:ilvl w:val="0"/>
          <w:numId w:val="0"/>
        </w:numPr>
        <w:keepLines/>
        <w:spacing w:before="240"/>
      </w:pPr>
      <w:r/>
      <w:bookmarkStart w:id="15" w:name="_Toc51339695"/>
      <w:r/>
      <w:bookmarkStart w:id="16" w:name="_Toc54643705"/>
      <w:r>
        <w:rPr>
          <w:rFonts w:eastAsiaTheme="minorEastAsia"/>
        </w:rPr>
        <w:t xml:space="preserve">Таблица 2. Перечень </w:t>
      </w:r>
      <w:bookmarkEnd w:id="15"/>
      <w:r>
        <w:rPr>
          <w:rFonts w:eastAsiaTheme="minorEastAsia"/>
        </w:rPr>
        <w:t xml:space="preserve">и объем оказываемых услуг</w:t>
      </w:r>
      <w:bookmarkEnd w:id="16"/>
      <w:r/>
      <w:r/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п/п</w:t>
            </w:r>
            <w:r>
              <w:rPr>
                <w:sz w:val="28"/>
                <w:szCs w:val="28"/>
              </w:rPr>
            </w:r>
          </w:p>
        </w:tc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услуг / этапа услуг</w:t>
            </w:r>
            <w:r>
              <w:rPr>
                <w:sz w:val="28"/>
                <w:szCs w:val="2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измерения</w:t>
            </w:r>
            <w:r>
              <w:rPr>
                <w:sz w:val="28"/>
                <w:szCs w:val="28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W w:w="8960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Подготовительные работы</w:t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W w:w="8960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Полевые работы</w:t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W w:w="8960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Камеральные работы</w:t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</w:t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W w:w="8960" w:type="dxa"/>
            <w:textDirection w:val="lrTb"/>
            <w:noWrap w:val="false"/>
          </w:tcPr>
          <w:p>
            <w:pPr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результатам услуг  составляются, оформляются и передаются Заказчику, на объекты указанные Таблице №1 ТТ, следующие документы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Исполнительная съемка реконструируемых/ строящихся участков теплотрасс/ </w:t>
            </w:r>
            <w:r>
              <w:rPr>
                <w:sz w:val="28"/>
                <w:szCs w:val="28"/>
              </w:rPr>
              <w:t xml:space="preserve">паротрасс</w:t>
            </w:r>
            <w:r>
              <w:rPr>
                <w:sz w:val="28"/>
                <w:szCs w:val="28"/>
              </w:rPr>
              <w:t xml:space="preserve"> в масштабе 1:500 со штампом о сдаче в отдел геолого-геодезической службы Департамента архитектуры, строительства и землепользования</w:t>
            </w:r>
            <w:r>
              <w:rPr>
                <w:sz w:val="28"/>
                <w:szCs w:val="28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Исполнительная схема реконструируемых/ строящихся участков теплотрасс/ </w:t>
            </w:r>
            <w:r>
              <w:rPr>
                <w:color w:val="000000"/>
                <w:sz w:val="28"/>
                <w:szCs w:val="28"/>
              </w:rPr>
              <w:t xml:space="preserve">паротрасс</w:t>
            </w:r>
            <w:r>
              <w:rPr>
                <w:color w:val="000000"/>
                <w:sz w:val="28"/>
                <w:szCs w:val="28"/>
              </w:rPr>
              <w:t xml:space="preserve"> в масштабе 1:500 на топографической основе</w:t>
            </w:r>
            <w:r>
              <w:rPr>
                <w:sz w:val="28"/>
                <w:szCs w:val="28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Продольный профиль реконструируемых/ строящихся участков теплотрасс/ </w:t>
            </w:r>
            <w:r>
              <w:rPr>
                <w:color w:val="000000"/>
                <w:sz w:val="28"/>
                <w:szCs w:val="28"/>
              </w:rPr>
              <w:t xml:space="preserve">паротрасс</w:t>
            </w:r>
            <w:r>
              <w:rPr>
                <w:color w:val="000000"/>
                <w:sz w:val="28"/>
                <w:szCs w:val="28"/>
              </w:rPr>
              <w:t xml:space="preserve"> в масштабе Мг 1:500, </w:t>
            </w:r>
            <w:r>
              <w:rPr>
                <w:color w:val="000000"/>
                <w:sz w:val="28"/>
                <w:szCs w:val="28"/>
              </w:rPr>
              <w:t xml:space="preserve">Мв</w:t>
            </w:r>
            <w:r>
              <w:rPr>
                <w:color w:val="000000"/>
                <w:sz w:val="28"/>
                <w:szCs w:val="28"/>
              </w:rPr>
              <w:t xml:space="preserve"> 1:100</w:t>
            </w:r>
            <w:r>
              <w:rPr>
                <w:sz w:val="28"/>
                <w:szCs w:val="28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Каталог координат сооружений</w:t>
            </w:r>
            <w:r>
              <w:rPr>
                <w:sz w:val="28"/>
                <w:szCs w:val="28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Cs/>
          <w:shd w:val="clear" w:color="auto" w:fill="ffff99"/>
        </w:rPr>
      </w:pPr>
      <w:r>
        <w:rPr>
          <w:bCs/>
          <w:shd w:val="clear" w:color="auto" w:fill="ffff99"/>
        </w:rPr>
      </w:r>
      <w:r>
        <w:rPr>
          <w:bCs/>
          <w:shd w:val="clear" w:color="auto" w:fill="ffff99"/>
        </w:rPr>
      </w:r>
      <w:r>
        <w:rPr>
          <w:bCs/>
          <w:shd w:val="clear" w:color="auto" w:fill="ffff99"/>
        </w:rPr>
      </w:r>
    </w:p>
    <w:p>
      <w:pPr>
        <w:pStyle w:val="770"/>
        <w:rPr>
          <w:sz w:val="28"/>
          <w:szCs w:val="28"/>
        </w:rPr>
      </w:pPr>
      <w:r/>
      <w:bookmarkStart w:id="17" w:name="_Toc51339696"/>
      <w:r/>
      <w:bookmarkStart w:id="18" w:name="_Toc54643706"/>
      <w:r>
        <w:rPr>
          <w:rFonts w:eastAsiaTheme="minorEastAsia"/>
          <w:sz w:val="28"/>
          <w:szCs w:val="28"/>
        </w:rPr>
        <w:t xml:space="preserve">Требования </w:t>
      </w:r>
      <w:bookmarkEnd w:id="17"/>
      <w:r>
        <w:rPr>
          <w:rFonts w:eastAsiaTheme="minorEastAsia"/>
          <w:sz w:val="28"/>
          <w:szCs w:val="28"/>
        </w:rPr>
        <w:t xml:space="preserve">к срокам оказания услуг</w:t>
      </w:r>
      <w:bookmarkEnd w:id="18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8"/>
        <w:numPr>
          <w:ilvl w:val="0"/>
          <w:numId w:val="0"/>
        </w:numPr>
        <w:keepLines/>
        <w:spacing w:before="240"/>
      </w:pPr>
      <w:r/>
      <w:bookmarkStart w:id="19" w:name="_Toc50125127"/>
      <w:r/>
      <w:bookmarkStart w:id="20" w:name="_Toc51339697"/>
      <w:r/>
      <w:bookmarkStart w:id="21" w:name="_Toc54643707"/>
      <w:r/>
      <w:bookmarkEnd w:id="11"/>
      <w:r>
        <w:rPr>
          <w:rFonts w:eastAsiaTheme="minorEastAsia"/>
        </w:rPr>
        <w:t xml:space="preserve">Таблица 3. </w:t>
      </w:r>
      <w:bookmarkStart w:id="22" w:name="_Hlk50465284"/>
      <w:r>
        <w:rPr>
          <w:rFonts w:eastAsiaTheme="minorEastAsia"/>
        </w:rPr>
        <w:t xml:space="preserve">Требования к срокам </w:t>
      </w:r>
      <w:bookmarkEnd w:id="19"/>
      <w:r/>
      <w:bookmarkEnd w:id="20"/>
      <w:r/>
      <w:bookmarkEnd w:id="22"/>
      <w:r>
        <w:rPr>
          <w:rFonts w:eastAsiaTheme="minorEastAsia"/>
        </w:rPr>
        <w:t xml:space="preserve">оказания услуг</w:t>
      </w:r>
      <w:bookmarkEnd w:id="21"/>
      <w:r/>
      <w:r/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2551"/>
        <w:gridCol w:w="2835"/>
      </w:tblGrid>
      <w:tr>
        <w:tblPrEx/>
        <w:trPr/>
        <w:tc>
          <w:tcPr>
            <w:shd w:val="clear" w:color="auto" w:fill="auto"/>
            <w:tcW w:w="5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п/п</w:t>
            </w:r>
            <w:r/>
          </w:p>
        </w:tc>
        <w:tc>
          <w:tcPr>
            <w:shd w:val="clear" w:color="auto" w:fill="auto"/>
            <w:tcW w:w="38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услуг/ этапа услуг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</w:pPr>
            <w:r>
              <w:t xml:space="preserve">Требования к началу срока оказания услуг/ этапа услуг</w:t>
            </w:r>
            <w:r/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Требования к окончанию срока оказания услуг / этапа услуг</w:t>
            </w:r>
            <w:r/>
          </w:p>
        </w:tc>
      </w:tr>
      <w:tr>
        <w:tblPrEx/>
        <w:trPr/>
        <w:tc>
          <w:tcPr>
            <w:shd w:val="clear" w:color="auto" w:fill="auto"/>
            <w:tcW w:w="562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1</w:t>
            </w:r>
            <w:r/>
          </w:p>
        </w:tc>
        <w:tc>
          <w:tcPr>
            <w:shd w:val="clear" w:color="auto" w:fill="auto"/>
            <w:tcW w:w="3828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010"/>
              <w:jc w:val="center"/>
              <w:keepNext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010"/>
              <w:jc w:val="center"/>
              <w:keepNext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</w:t>
            </w:r>
            <w:bookmarkEnd w:id="12"/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rPr>
                <w:color w:val="ff0000"/>
              </w:rPr>
            </w:pPr>
            <w:r>
              <w:rPr>
                <w:b/>
                <w:color w:val="000000" w:themeColor="text1"/>
              </w:rPr>
              <w:t xml:space="preserve">1.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</w:tc>
        <w:tc>
          <w:tcPr>
            <w:tcW w:w="3828" w:type="dxa"/>
            <w:textDirection w:val="lrTb"/>
            <w:noWrap w:val="false"/>
          </w:tcPr>
          <w:p>
            <w:pPr>
              <w:rPr>
                <w:color w:val="ff0000"/>
              </w:rPr>
            </w:pPr>
            <w:r>
              <w:rPr>
                <w:color w:val="000000" w:themeColor="text1"/>
              </w:rPr>
              <w:t xml:space="preserve">Оказание услуг по проведению топографической съемки реконструируемых участков теплотрасс для Хабаровских тепловых сетей в г. Хабаровске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с даты заключения договора</w:t>
            </w:r>
            <w:r/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по 30.11.2026 года</w:t>
            </w:r>
            <w:r/>
          </w:p>
        </w:tc>
      </w:tr>
    </w:tbl>
    <w:p>
      <w:pPr>
        <w:keepLines/>
        <w:keepNext/>
        <w:spacing w:before="240" w:after="60"/>
        <w:rPr>
          <w:b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  <w:outlineLvl w:val="0"/>
      </w:pPr>
      <w:r/>
      <w:bookmarkStart w:id="23" w:name="_Toc50125131"/>
      <w:r>
        <w:rPr>
          <w:b/>
        </w:rPr>
      </w:r>
      <w:r>
        <w:rPr>
          <w:b/>
        </w:rPr>
      </w:r>
    </w:p>
    <w:p>
      <w:pPr>
        <w:pStyle w:val="771"/>
        <w:rPr>
          <w:sz w:val="28"/>
          <w:szCs w:val="28"/>
        </w:rPr>
      </w:pPr>
      <w:r/>
      <w:bookmarkStart w:id="24" w:name="_Toc46743511"/>
      <w:r/>
      <w:bookmarkStart w:id="25" w:name="_Toc54643708"/>
      <w:r/>
      <w:bookmarkStart w:id="26" w:name="_Toc51339698"/>
      <w:r/>
      <w:bookmarkStart w:id="27" w:name="_Toc54643709"/>
      <w:r>
        <w:rPr>
          <w:rFonts w:eastAsiaTheme="minorEastAsia"/>
          <w:sz w:val="28"/>
          <w:szCs w:val="28"/>
        </w:rPr>
        <w:t xml:space="preserve">Требования к </w:t>
      </w:r>
      <w:bookmarkEnd w:id="24"/>
      <w:r>
        <w:rPr>
          <w:rFonts w:eastAsiaTheme="minorEastAsia"/>
          <w:sz w:val="28"/>
          <w:szCs w:val="28"/>
        </w:rPr>
        <w:t xml:space="preserve">качеству услуг</w:t>
      </w:r>
      <w:bookmarkEnd w:id="25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8"/>
        <w:numPr>
          <w:ilvl w:val="0"/>
          <w:numId w:val="0"/>
        </w:numPr>
        <w:keepLines/>
        <w:spacing w:before="240"/>
        <w:rPr>
          <w:iCs/>
        </w:rPr>
      </w:pPr>
      <w:r>
        <w:rPr>
          <w:rFonts w:eastAsiaTheme="minorEastAsia"/>
        </w:rPr>
        <w:t xml:space="preserve">Таблица 4. Требования к </w:t>
      </w:r>
      <w:bookmarkEnd w:id="23"/>
      <w:r/>
      <w:bookmarkEnd w:id="26"/>
      <w:r>
        <w:rPr>
          <w:rFonts w:eastAsiaTheme="minorEastAsia"/>
        </w:rPr>
        <w:t xml:space="preserve">качеству услуг</w:t>
      </w:r>
      <w:bookmarkEnd w:id="27"/>
      <w:r>
        <w:rPr>
          <w:rFonts w:eastAsiaTheme="minorEastAsia"/>
        </w:rPr>
        <w:t xml:space="preserve"> </w:t>
      </w:r>
      <w:r>
        <w:rPr>
          <w:iCs/>
        </w:rPr>
      </w:r>
      <w:r>
        <w:rPr>
          <w:iCs/>
        </w:rPr>
      </w:r>
    </w:p>
    <w:p>
      <w:pPr>
        <w:rPr>
          <w:rStyle w:val="1012"/>
          <w:b w:val="0"/>
          <w:i w:val="0"/>
        </w:rPr>
      </w:pPr>
      <w:r>
        <w:rPr>
          <w:b w:val="0"/>
          <w:i w:val="0"/>
        </w:rPr>
      </w:r>
      <w:r>
        <w:rPr>
          <w:rStyle w:val="1012"/>
          <w:b w:val="0"/>
          <w:i w:val="0"/>
        </w:rPr>
      </w:r>
      <w:r>
        <w:rPr>
          <w:rStyle w:val="1012"/>
          <w:b w:val="0"/>
          <w:i w:val="0"/>
        </w:rPr>
      </w:r>
    </w:p>
    <w:tbl>
      <w:tblPr>
        <w:tblStyle w:val="938"/>
        <w:tblW w:w="148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8"/>
        <w:gridCol w:w="4405"/>
        <w:gridCol w:w="4943"/>
        <w:gridCol w:w="2409"/>
        <w:gridCol w:w="2300"/>
      </w:tblGrid>
      <w:tr>
        <w:tblPrEx/>
        <w:trPr/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40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2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40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94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9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/>
            <w:bookmarkStart w:id="28" w:name="_Toc53499667"/>
            <w:r>
              <w:rPr>
                <w:b/>
                <w:bCs/>
                <w:sz w:val="24"/>
                <w:szCs w:val="24"/>
              </w:rPr>
              <w:t xml:space="preserve">1</w:t>
            </w:r>
            <w:bookmarkEnd w:id="28"/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40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9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9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29" w:type="dxa"/>
            <w:vAlign w:val="center"/>
            <w:textDirection w:val="lrTb"/>
            <w:noWrap w:val="false"/>
          </w:tcPr>
          <w:p>
            <w:pPr>
              <w:pStyle w:val="981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9348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9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29" w:type="dxa"/>
            <w:vAlign w:val="center"/>
            <w:textDirection w:val="lrTb"/>
            <w:noWrap w:val="false"/>
          </w:tcPr>
          <w:p>
            <w:pPr>
              <w:pStyle w:val="981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9348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оказанию услуг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9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29" w:type="dxa"/>
            <w:vAlign w:val="center"/>
            <w:textDirection w:val="lrTb"/>
            <w:noWrap w:val="false"/>
          </w:tcPr>
          <w:p>
            <w:pPr>
              <w:pStyle w:val="981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auto" w:fill="auto"/>
            <w:tcW w:w="440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при выполнении услуг  норм и правил нормативно-технических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9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требований по охране труда, пожарной безопасности, правила пропускного и </w:t>
            </w:r>
            <w:r>
              <w:rPr>
                <w:sz w:val="24"/>
                <w:szCs w:val="24"/>
              </w:rPr>
              <w:t xml:space="preserve">внутриобъектного</w:t>
            </w:r>
            <w:r>
              <w:rPr>
                <w:sz w:val="24"/>
                <w:szCs w:val="24"/>
              </w:rPr>
              <w:t xml:space="preserve"> режима на территории оказани</w:t>
            </w:r>
            <w:r>
              <w:rPr>
                <w:sz w:val="24"/>
                <w:szCs w:val="24"/>
              </w:rPr>
              <w:t xml:space="preserve">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299" w:type="dxa"/>
            <w:textDirection w:val="lrTb"/>
            <w:noWrap w:val="false"/>
          </w:tcPr>
          <w:p>
            <w:pPr>
              <w:pStyle w:val="1006"/>
              <w:jc w:val="left"/>
              <w:keepNext w:val="0"/>
              <w:spacing w:before="0"/>
              <w:outlineLvl w:val="2"/>
            </w:pPr>
            <w:r/>
            <w:r/>
          </w:p>
        </w:tc>
      </w:tr>
      <w:tr>
        <w:tblPrEx/>
        <w:trPr/>
        <w:tc>
          <w:tcPr>
            <w:tcW w:w="829" w:type="dxa"/>
            <w:vAlign w:val="center"/>
            <w:textDirection w:val="lrTb"/>
            <w:noWrap w:val="false"/>
          </w:tcPr>
          <w:p>
            <w:pPr>
              <w:pStyle w:val="981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shd w:val="clear" w:color="auto" w:fill="auto"/>
            <w:tcW w:w="9348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способам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29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29" w:type="dxa"/>
            <w:vAlign w:val="center"/>
            <w:textDirection w:val="lrTb"/>
            <w:noWrap w:val="false"/>
          </w:tcPr>
          <w:p>
            <w:pPr>
              <w:pStyle w:val="981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auto" w:fill="auto"/>
            <w:tcW w:w="440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Непосредственное участие персонала Исполнителя в Разработке документации и приведение в соответствие с требованиями нормативно-технической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943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оказании услуг, Исполнитель осуществляет выезды на каждый объект с использованием собственного автотранспорта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29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29" w:type="dxa"/>
            <w:vAlign w:val="center"/>
            <w:textDirection w:val="lrTb"/>
            <w:noWrap w:val="false"/>
          </w:tcPr>
          <w:p>
            <w:pPr>
              <w:pStyle w:val="981"/>
              <w:numPr>
                <w:ilvl w:val="1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shd w:val="clear" w:color="auto" w:fill="auto"/>
            <w:tcW w:w="9348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безопасности услуг  и охране труда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29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29" w:type="dxa"/>
            <w:vAlign w:val="center"/>
            <w:textDirection w:val="lrTb"/>
            <w:noWrap w:val="false"/>
          </w:tcPr>
          <w:p>
            <w:pPr>
              <w:pStyle w:val="981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auto" w:fill="auto"/>
            <w:tcW w:w="440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Организационно-технические мероприятия по допуску персонала исполнителя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943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 началом оказания услуг, но не позднее, чем за 10 дней до начала оказания услуг, для организации допуска персонала на объекты, Исполнитель должен направить Заказчику: списки ответ</w:t>
            </w: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твенных лиц, имеющих право выполнять работы по наряду-допуску, распоряжению, которые будут непосредственно выполнять работы на объектах; копию распорядительного документа по предприятию о назначении ответственных исполнителей (производителей услуг ), котор</w:t>
            </w:r>
            <w:r>
              <w:rPr>
                <w:sz w:val="24"/>
                <w:szCs w:val="24"/>
              </w:rPr>
              <w:t xml:space="preserve">ые будут непосредственно выполнять работы на объектах.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 началом оказания услуг Исполнитель сообщает Заказчику в течении 2-х рабочих дней со дня подписания договора: контакты, должность и адрес электронной почты представителей Исполнителя, уполномоченн</w:t>
            </w:r>
            <w:r>
              <w:rPr>
                <w:sz w:val="24"/>
                <w:szCs w:val="24"/>
              </w:rPr>
              <w:t xml:space="preserve">ы</w:t>
            </w:r>
            <w:r>
              <w:rPr>
                <w:sz w:val="24"/>
                <w:szCs w:val="24"/>
              </w:rPr>
              <w:t xml:space="preserve">х на оперативное рассмотрение и решение технических и организационных вопросов, связанных с выполнением услуг ; Контакты и должность представителя Исполнителя, ответственного за соблюдение норм и правил в области охраны труда, пожарной и промышленной безоп</w:t>
            </w:r>
            <w:r>
              <w:rPr>
                <w:sz w:val="24"/>
                <w:szCs w:val="24"/>
              </w:rPr>
              <w:t xml:space="preserve">асности.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29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pStyle w:val="981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ffffff" w:fill="ffffff"/>
            <w:tcW w:w="440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Соблюдение режима охраны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943" w:type="dxa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еред началом оказания услуг, но не позднее, чем за 10 дней до начала, Исполнитель обязан: - пройти вводный инструктаж в Службе промышленной безопасности и охраны труда СП «ХТС» АО «ДГК»; - пройти первичный инструктаж на рабочем месте в Северном, Южном и Це</w:t>
            </w:r>
            <w:r>
              <w:rPr>
                <w:sz w:val="24"/>
                <w:szCs w:val="24"/>
              </w:rPr>
              <w:t xml:space="preserve">нтральном сетевых районах СП «ХТС» АО «ДГК»; оформить допуск (списки лиц персонала, перечень оборудования и средств измерений) для оказания услуг на территории объекта.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услуг проводить в соответствии с требованиями: «Правил пожарной безопасности д</w:t>
            </w:r>
            <w:r>
              <w:rPr>
                <w:sz w:val="24"/>
                <w:szCs w:val="24"/>
              </w:rPr>
              <w:t xml:space="preserve">ля энергетических предприятий» (ВППБ 01-02-95, РД 153-34.0-03.301-00); «Правил безопасности при работе с инструментом и приспособлениями» (СО 153-34.03.2004, РД 34.03-204);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Положения о допуске персонала подрядных организаций</w:t>
            </w:r>
            <w:r>
              <w:rPr>
                <w:sz w:val="24"/>
                <w:szCs w:val="24"/>
              </w:rPr>
              <w:t xml:space="preserve"> к выполнению работ  на объектах АО «ДГК» №22.1-504-2026 (утверждено приказом АО «ДГК» №П-ДГК/649 от 22.07.2026 г); п. 1.5.1 Правил по охране труда в электроустановках, ПТЭ в электроустановках потребителей (Приложение №2 к Техническим требованиям).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29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9348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W w:w="2299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76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9348" w:type="dxa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именяемые оборудование и дополнительные материалы, необходимые Исполнителю для выполнения услуг , должны соответствовать действующим государственным и международным стандартам, требованиям безопасности, функциональным и качественным характеристикам, а такж</w:t>
            </w:r>
            <w:r>
              <w:rPr>
                <w:sz w:val="24"/>
                <w:szCs w:val="24"/>
              </w:rPr>
              <w:t xml:space="preserve">е требованиям настоящего ТТ.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Оборудование и дополнительные материалы, применяемые для выполнения услуг , должны быть разрешены к использованию на территории Российской Федерации и обеспечиваются Исполнителем своими силами или за свой счёт.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долже</w:t>
            </w:r>
            <w:r>
              <w:rPr>
                <w:sz w:val="24"/>
                <w:szCs w:val="24"/>
              </w:rPr>
              <w:t xml:space="preserve">н выполнять работы с использованием средств геодезических измерений, прошедших поверку, а также в соответствии с аттестованными методиками (методами) измерений и установленными требованиями к выполнению услуг  в соответствии с требованиями настоящего ТТ.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</w:t>
            </w:r>
            <w:r>
              <w:rPr>
                <w:sz w:val="24"/>
                <w:szCs w:val="24"/>
              </w:rPr>
              <w:t xml:space="preserve">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29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29" w:type="dxa"/>
            <w:vAlign w:val="center"/>
            <w:textDirection w:val="lrTb"/>
            <w:noWrap w:val="false"/>
          </w:tcPr>
          <w:p>
            <w:pPr>
              <w:pStyle w:val="981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934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у</w:t>
            </w:r>
            <w:r>
              <w:rPr>
                <w:b/>
                <w:sz w:val="24"/>
                <w:szCs w:val="24"/>
              </w:rPr>
              <w:t xml:space="preserve">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9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29" w:type="dxa"/>
            <w:vAlign w:val="center"/>
            <w:textDirection w:val="lrTb"/>
            <w:noWrap w:val="false"/>
          </w:tcPr>
          <w:p>
            <w:pPr>
              <w:pStyle w:val="981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934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Общие требования к результатам услуг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9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29" w:type="dxa"/>
            <w:vAlign w:val="center"/>
            <w:textDirection w:val="lrTb"/>
            <w:noWrap w:val="false"/>
          </w:tcPr>
          <w:p>
            <w:pPr>
              <w:pStyle w:val="981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934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Согласовать результат услуг  с Заказчиком, до их утверждения руководителем Исполнителя.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Оказать услугу в полном объеме и сроки, предусмотренные ТЗ к договору и сдать результат услуг  Заказчику.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i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99" w:type="dxa"/>
            <w:textDirection w:val="lrTb"/>
            <w:noWrap w:val="false"/>
          </w:tcPr>
          <w:p>
            <w:pPr>
              <w:pStyle w:val="1006"/>
              <w:jc w:val="left"/>
              <w:keepNext w:val="0"/>
              <w:rPr>
                <w:b w:val="0"/>
              </w:rPr>
              <w:outlineLvl w:val="2"/>
            </w:pPr>
            <w:r>
              <w:rPr>
                <w:b w:val="0"/>
              </w:rPr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>
          <w:trHeight w:val="336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348" w:type="dxa"/>
            <w:vMerge w:val="restart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безопасности использования результата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99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36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348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сполнитель обязан обеспечить выполнение следующих требований по безопасности оказания услуг: Все услуги должны выполняться с соблюдением необходимых мер по охране труда, предотвращению аварийных ситуаций (чрезвычайных ситуаций) в соответствии с действующим</w:t>
            </w:r>
            <w:r>
              <w:rPr>
                <w:sz w:val="24"/>
                <w:szCs w:val="24"/>
              </w:rPr>
              <w:t xml:space="preserve">и нормативными актами.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Должны быть обеспечены технические меры защиты предоставленных Заказчиком информационных ресурсов, а также рабочих, промежуточных материалов, полученных в процессе услуг , от хищения, утраты, утечки, уничтожения, искажения и подделки.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Должны быть предприняты меры по обеспечению безопасности информации, предусматривающие: - неразглашение сведений конфиденциального характера должностными лицами и сотрудниками, участвующими в работе; - контроль выполнения соответствующих инструкций для до</w:t>
            </w:r>
            <w:r>
              <w:rPr>
                <w:sz w:val="24"/>
                <w:szCs w:val="24"/>
              </w:rPr>
              <w:t xml:space="preserve">л</w:t>
            </w:r>
            <w:r>
              <w:rPr>
                <w:sz w:val="24"/>
                <w:szCs w:val="24"/>
              </w:rPr>
              <w:t xml:space="preserve">жностных лиц и сотрудников, выполняющих работы; - предотвращение несанкционированного копирования информации с носителей и других технических средств в процессе выполнения услуг ; - гарантированное уничтожение рабочей (промежуточной) информации на бумажных</w:t>
            </w:r>
            <w:r>
              <w:rPr>
                <w:sz w:val="24"/>
                <w:szCs w:val="24"/>
              </w:rPr>
              <w:t xml:space="preserve"> и электронных носителях по окончании её обработки.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выполнении услуг  Исполнитель обязан соблюдать требования законодательства Российской Федерации по охране труда и технике пожарной безопасности, а также руководствоваться действующими актами законодате</w:t>
            </w:r>
            <w:r>
              <w:rPr>
                <w:sz w:val="24"/>
                <w:szCs w:val="24"/>
              </w:rPr>
              <w:t xml:space="preserve">льства Российской Федерации.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Применяемые технологии и методы производства услуг  должны соответствовать настоящему Техническому заданию, стандартам, нормам и правилам и иным действующим на территории Российской Федерации нормативным правовым актам.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Работник</w:t>
            </w:r>
            <w:r>
              <w:rPr>
                <w:sz w:val="24"/>
                <w:szCs w:val="24"/>
              </w:rPr>
              <w:t xml:space="preserve">и Исполнителя при оказании услуг должны быть обеспечены специальной одеждой, специальной обувью и средствами индивидуальной защиты в соответствии с требованиями Приказа Минтруда России от 28.12.2017 № 883н «Об утверждении Типовых норм бесплатной выдачи спе</w:t>
            </w:r>
            <w:r>
              <w:rPr>
                <w:sz w:val="24"/>
                <w:szCs w:val="24"/>
              </w:rPr>
              <w:t xml:space="preserve">циальной одежды, специальной обуви и других средств индивидуальной защиты работникам, занятым на геологических, </w:t>
            </w:r>
            <w:r>
              <w:rPr>
                <w:sz w:val="24"/>
                <w:szCs w:val="24"/>
              </w:rPr>
              <w:t xml:space="preserve">топографогеодезических</w:t>
            </w:r>
            <w:r>
              <w:rPr>
                <w:sz w:val="24"/>
                <w:szCs w:val="24"/>
              </w:rPr>
              <w:t xml:space="preserve">, изыскательских, землеустроительных работах и в картографическом производстве (занятым на работах с вредными и (или) опас</w:t>
            </w:r>
            <w:r>
              <w:rPr>
                <w:sz w:val="24"/>
                <w:szCs w:val="24"/>
              </w:rPr>
              <w:t xml:space="preserve">ными условиями труда, а также на работах, выполняемых в особых температурных условиях или связанных с загрязнением)».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99" w:type="dxa"/>
            <w:vMerge w:val="restart"/>
            <w:textDirection w:val="lrTb"/>
            <w:noWrap w:val="false"/>
          </w:tcPr>
          <w:p>
            <w:pPr>
              <w:pStyle w:val="1006"/>
              <w:jc w:val="left"/>
              <w:keepNext w:val="0"/>
              <w:rPr>
                <w:b w:val="0"/>
                <w:sz w:val="28"/>
                <w:szCs w:val="28"/>
              </w:rPr>
              <w:outlineLvl w:val="2"/>
            </w:pP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</w:tc>
      </w:tr>
      <w:tr>
        <w:tblPrEx/>
        <w:trPr/>
        <w:tc>
          <w:tcPr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348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приемке результата оказания у</w:t>
            </w:r>
            <w:r>
              <w:rPr>
                <w:b/>
                <w:sz w:val="24"/>
                <w:szCs w:val="24"/>
              </w:rPr>
              <w:t xml:space="preserve">слуг</w:t>
            </w:r>
            <w:r>
              <w:rPr>
                <w:rStyle w:val="1012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9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29" w:type="dxa"/>
            <w:vAlign w:val="center"/>
            <w:textDirection w:val="lrTb"/>
            <w:noWrap w:val="false"/>
          </w:tcPr>
          <w:p>
            <w:pPr>
              <w:pStyle w:val="981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9348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окончанию оказания услуг Исполнитель предоставляет рабочую, исполнительную документацию. Сдача услуг  оформляется Актом оказания услуг установленной формы после передачи отчетных документов Заказчику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9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348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Требования к документации, описывающей результат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99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76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348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отчётные документы предоставляются на русском языке.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каждому участку тепловых магистралей, указанные в таблице 1 ТТ Исполнитель предоставляет Заказчику: - исполнительн</w:t>
            </w:r>
            <w:r>
              <w:rPr>
                <w:sz w:val="24"/>
                <w:szCs w:val="24"/>
              </w:rPr>
              <w:t xml:space="preserve">ую съемку в масштабе 1:500 в электронном виде в формате *.</w:t>
            </w:r>
            <w:r>
              <w:rPr>
                <w:sz w:val="24"/>
                <w:szCs w:val="24"/>
              </w:rPr>
              <w:t xml:space="preserve">dwg</w:t>
            </w:r>
            <w:r>
              <w:rPr>
                <w:sz w:val="24"/>
                <w:szCs w:val="24"/>
              </w:rPr>
              <w:t xml:space="preserve">, а также на бумажном носителе, представленную в 2-х (двух) экземплярах со штампом о сдаче в Департамент архитектуры, строительства и землепользования; - исполнительную схему на топографической о</w:t>
            </w:r>
            <w:r>
              <w:rPr>
                <w:sz w:val="24"/>
                <w:szCs w:val="24"/>
              </w:rPr>
              <w:t xml:space="preserve">снове в масштабе 1:500 в электронном виде в формате *.</w:t>
            </w:r>
            <w:r>
              <w:rPr>
                <w:sz w:val="24"/>
                <w:szCs w:val="24"/>
              </w:rPr>
              <w:t xml:space="preserve">dwg</w:t>
            </w:r>
            <w:r>
              <w:rPr>
                <w:sz w:val="24"/>
                <w:szCs w:val="24"/>
              </w:rPr>
              <w:t xml:space="preserve">, а также на бумажном носителе, представленную в 2-х (двух) экземплярах; - продольный профиль в масштабе Мг 1:500, </w:t>
            </w:r>
            <w:r>
              <w:rPr>
                <w:sz w:val="24"/>
                <w:szCs w:val="24"/>
              </w:rPr>
              <w:t xml:space="preserve">Мв</w:t>
            </w:r>
            <w:r>
              <w:rPr>
                <w:sz w:val="24"/>
                <w:szCs w:val="24"/>
              </w:rPr>
              <w:t xml:space="preserve"> 1:100 в электронном виде в формате *.</w:t>
            </w:r>
            <w:r>
              <w:rPr>
                <w:sz w:val="24"/>
                <w:szCs w:val="24"/>
              </w:rPr>
              <w:t xml:space="preserve">dwg</w:t>
            </w:r>
            <w:r>
              <w:rPr>
                <w:sz w:val="24"/>
                <w:szCs w:val="24"/>
              </w:rPr>
              <w:t xml:space="preserve">, а также на бумажном носителе, представл</w:t>
            </w:r>
            <w:r>
              <w:rPr>
                <w:sz w:val="24"/>
                <w:szCs w:val="24"/>
              </w:rPr>
              <w:t xml:space="preserve">енную в 2-х (двух) экземплярах; - каталог координат сооружений в электронном виде в формате *.</w:t>
            </w:r>
            <w:r>
              <w:rPr>
                <w:sz w:val="24"/>
                <w:szCs w:val="24"/>
              </w:rPr>
              <w:t xml:space="preserve">doc</w:t>
            </w:r>
            <w:r>
              <w:rPr>
                <w:sz w:val="24"/>
                <w:szCs w:val="24"/>
              </w:rPr>
              <w:t xml:space="preserve">, а также на бумажном носителе, представленную в 2-х (двух) экземплярах.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на бумажном носителе должна полностью соответствовать информации в электрон</w:t>
            </w:r>
            <w:r>
              <w:rPr>
                <w:sz w:val="24"/>
                <w:szCs w:val="24"/>
              </w:rPr>
              <w:t xml:space="preserve">ном виде.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9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348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99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625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348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закон "</w:t>
            </w:r>
            <w:r>
              <w:rPr>
                <w:color w:val="000000"/>
                <w:sz w:val="24"/>
                <w:szCs w:val="24"/>
              </w:rPr>
              <w:t xml:space="preserve">О противодействии коррупции" от 25.12.2008 N 273-ФЗ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9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348" w:type="dxa"/>
            <w:vMerge w:val="restart"/>
            <w:textDirection w:val="lrTb"/>
            <w:noWrap w:val="false"/>
          </w:tcPr>
          <w:p>
            <w:pPr>
              <w:jc w:val="both"/>
              <w:spacing w:line="57" w:lineRule="atLeast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Требования к ответственности и гарантиям исполнителя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99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76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40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ответственности Исполнителя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должен оказать услуги в полном объеме в соответствии с требованиями действующей нормативной и технической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9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40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гарантиям исполнителя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4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гарантирует качество оказанных услуг, сроки их выполнения и устранение замечаний при их наличии.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получения замечаний по качеству оказания услуг или отказа в признании результатов услуг , соответствию требованиям, документы должны быть отко</w:t>
            </w:r>
            <w:r>
              <w:rPr>
                <w:sz w:val="24"/>
                <w:szCs w:val="24"/>
              </w:rPr>
              <w:t xml:space="preserve">рректированы Исполнителем в соответствии с выданными замечаниями на безвозмездной основе.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9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348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Требования к исполнителю (и соисполнителям) и его обязательствам, влияющим на исполнение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99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76"/>
        </w:trPr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348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разглашать конфиденциальную информацию третьим лицам и не использовать ее для каких - либо целей, кроме связанных с выполнением обязательств по Договору.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привлечения к оказанию услуг соисполнителей, Исполнитель обязан предоставить Заказчику на </w:t>
            </w:r>
            <w:r>
              <w:rPr>
                <w:sz w:val="24"/>
                <w:szCs w:val="24"/>
              </w:rPr>
              <w:t xml:space="preserve">момент согласования договора документы, подтверждающие соответствие их квалификационного уровня, а так же готовность и возможность оказания ими услуг. В этом случае Исполнитель несет ответственность по настоящему Договору за действия привлекаемых им к испо</w:t>
            </w:r>
            <w:r>
              <w:rPr>
                <w:sz w:val="24"/>
                <w:szCs w:val="24"/>
              </w:rPr>
              <w:t xml:space="preserve">лнению третьих лиц, как за свои собственные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9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tbl>
      <w:tblPr>
        <w:tblStyle w:val="938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7795"/>
        <w:gridCol w:w="6237"/>
      </w:tblGrid>
      <w:tr>
        <w:tblPrEx/>
        <w:trPr>
          <w:trHeight w:val="255"/>
        </w:trPr>
        <w:tc>
          <w:tcPr>
            <w:tcW w:w="85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4032" w:type="dxa"/>
            <w:textDirection w:val="lrTb"/>
            <w:noWrap w:val="false"/>
          </w:tcPr>
          <w:p>
            <w:pPr>
              <w:contextualSpacing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Требования к победителю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236"/>
        </w:trPr>
        <w:tc>
          <w:tcPr>
            <w:tcW w:w="85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6.1.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4032" w:type="dxa"/>
            <w:textDirection w:val="lrTb"/>
            <w:noWrap w:val="false"/>
          </w:tcPr>
          <w:p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Участник, признанный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победителем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закупочной процедуры, в течение 5 (пяти) рабочих дней после размещения протокола подведения итогов закупки на сайте </w:t>
            </w:r>
            <w:hyperlink r:id="rId13" w:tooltip="http://www.zakupki.gov.ru" w:history="1">
              <w:r>
                <w:rPr>
                  <w:rStyle w:val="95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(до заключения договора), должен предоставить в адрес Заказчика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 электронный адрес </w:t>
            </w:r>
            <w:hyperlink r:id="rId14" w:tooltip="mailto:Kulik-ANV@dgk.ru" w:history="1">
              <w:r>
                <w:rPr>
                  <w:rStyle w:val="95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(</w:t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  <w:t xml:space="preserve">УКАЗАТЬ ЭЛ ПОЧТУ ИСПОЛНИТЕЛЯ ПО ДОГОВОРУ)</w:t>
              </w:r>
              <w:r>
                <w:rPr>
                  <w:rStyle w:val="95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дополнительные документы.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81"/>
              <w:contextualSpacing/>
              <w:ind w:left="0"/>
              <w:jc w:val="left"/>
              <w:shd w:val="clear" w:color="auto" w:fill="ffffff"/>
              <w:tabs>
                <w:tab w:val="left" w:pos="284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06"/>
        </w:trPr>
        <w:tc>
          <w:tcPr>
            <w:tcW w:w="85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:u w:val="none"/>
              </w:rPr>
              <w:t xml:space="preserve">6.2.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u w:val="none"/>
              </w:rPr>
            </w:r>
          </w:p>
        </w:tc>
        <w:tc>
          <w:tcPr>
            <w:tcW w:w="7795" w:type="dxa"/>
            <w:textDirection w:val="lrTb"/>
            <w:noWrap w:val="false"/>
          </w:tcPr>
          <w:p>
            <w:pPr>
              <w:contextualSpacing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t xml:space="preserve">Требования к кадровым ресурсам победителя: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</w:p>
          <w:p>
            <w:pPr>
              <w:contextualSpacing/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Согласно требования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 24.12.2021 г.№2464 «О порядке обучения по охране труда и проверки знаний требований охраны труда»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/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ru-RU"/>
              </w:rPr>
              <w:t xml:space="preserve">меть в наличие 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 2-х человек прошедших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проверку знаний требований охраны труда.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37" w:type="dxa"/>
            <w:textDirection w:val="lrTb"/>
            <w:noWrap w:val="false"/>
          </w:tcPr>
          <w:p>
            <w:pPr>
              <w:contextualSpacing/>
              <w:ind w:left="142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67"/>
              <w:contextualSpacing/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1.Копиями документов проверки знаний требований охраны труда обученных лиц, не менее чем на 2-х человек, которые будут непосредственно на объектах оказывать услуги.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shd w:val="nil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</w:p>
    <w:p>
      <w:pPr>
        <w:jc w:val="center"/>
        <w:rPr>
          <w:b/>
          <w:bCs/>
        </w:rPr>
        <w:sectPr>
          <w:footnotePr/>
          <w:endnotePr/>
          <w:type w:val="nextPage"/>
          <w:pgSz w:w="16838" w:h="11906" w:orient="landscape"/>
          <w:pgMar w:top="851" w:right="567" w:bottom="851" w:left="992" w:header="709" w:footer="709" w:gutter="0"/>
          <w:cols w:num="1" w:sep="0" w:space="708" w:equalWidth="1"/>
          <w:docGrid w:linePitch="360"/>
          <w:titlePg/>
        </w:sect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  <w:r/>
    </w:p>
    <w:p>
      <w:pPr>
        <w:pStyle w:val="768"/>
        <w:ind w:left="357" w:hanging="357"/>
        <w:jc w:val="center"/>
        <w:keepLines/>
        <w:rPr>
          <w:lang w:val="ru-RU"/>
        </w:rPr>
      </w:pPr>
      <w:r/>
      <w:bookmarkStart w:id="0" w:name="undefined"/>
      <w:r/>
      <w:bookmarkStart w:id="0" w:name="undefined"/>
      <w:r/>
      <w:bookmarkStart w:id="0" w:name="undefined"/>
      <w:r>
        <w:rPr>
          <w:lang w:val="ru-RU"/>
        </w:rPr>
        <w:t xml:space="preserve">Требования к документации по ценообразованию</w:t>
      </w:r>
      <w:bookmarkEnd w:id="0"/>
      <w:r>
        <w:rPr>
          <w:lang w:val="ru-RU"/>
        </w:rPr>
        <w:t xml:space="preserve"> на этапе закупки</w:t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spacing w:before="0" w:beforeAutospacing="0" w:after="0" w:afterAutospacing="0"/>
        <w:tabs>
          <w:tab w:val="left" w:pos="567" w:leader="none"/>
          <w:tab w:val="left" w:pos="709" w:leader="none"/>
        </w:tabs>
        <w:rPr>
          <w:rFonts w:eastAsia="Calibri"/>
          <w:sz w:val="24"/>
          <w:szCs w:val="24"/>
          <w:highlight w:val="white"/>
        </w:rPr>
        <w:suppressLineNumbers w:val="0"/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sz w:val="24"/>
          <w:szCs w:val="24"/>
          <w:highlight w:val="white"/>
        </w:rPr>
        <w:t xml:space="preserve">3.1.</w:t>
      </w:r>
      <w:bookmarkEnd w:id="0"/>
      <w:r>
        <w:rPr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</w:t>
      </w:r>
      <w:r>
        <w:rPr>
          <w:rFonts w:eastAsia="Calibri"/>
          <w:sz w:val="24"/>
          <w:szCs w:val="24"/>
          <w:highlight w:val="none"/>
        </w:rPr>
        <w:t xml:space="preserve">.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pStyle w:val="771"/>
        <w:numPr>
          <w:ilvl w:val="0"/>
          <w:numId w:val="0"/>
        </w:numPr>
        <w:ind w:firstLine="720"/>
        <w:jc w:val="both"/>
        <w:spacing w:before="0" w:beforeAutospacing="0" w:after="0" w:afterAutospacing="0"/>
        <w:rPr>
          <w:b w:val="0"/>
          <w:highlight w:val="white"/>
        </w:rPr>
        <w:suppressLineNumbers w:val="0"/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b w:val="0"/>
          <w:highlight w:val="white"/>
        </w:rPr>
        <w:t xml:space="preserve">3.2. Дополнительные документы по ценообразованию (сметная документация) в состав заявки Участника не включаются.</w:t>
      </w:r>
      <w:bookmarkEnd w:id="0"/>
      <w:r>
        <w:rPr>
          <w:b w:val="0"/>
          <w:highlight w:val="white"/>
        </w:rPr>
      </w:r>
      <w:r>
        <w:rPr>
          <w:b w:val="0"/>
          <w:highlight w:val="white"/>
        </w:rPr>
      </w:r>
    </w:p>
    <w:p>
      <w:pPr>
        <w:jc w:val="both"/>
        <w:rPr>
          <w:iCs/>
          <w:caps/>
        </w:rPr>
      </w:pPr>
      <w:r>
        <w:rPr>
          <w:iCs/>
          <w:caps/>
        </w:rPr>
      </w:r>
      <w:r>
        <w:rPr>
          <w:iCs/>
          <w:caps/>
        </w:rPr>
      </w:r>
      <w:r>
        <w:rPr>
          <w:iCs/>
          <w:caps/>
        </w:rPr>
      </w:r>
    </w:p>
    <w:p>
      <w:pPr>
        <w:pStyle w:val="768"/>
        <w:ind w:left="357" w:hanging="357"/>
        <w:jc w:val="center"/>
        <w:keepLines/>
        <w:rPr>
          <w:lang w:val="ru-RU"/>
        </w:rPr>
      </w:pPr>
      <w:r/>
      <w:bookmarkStart w:id="0" w:name="undefined"/>
      <w:r/>
      <w:bookmarkStart w:id="0" w:name="undefined"/>
      <w:r>
        <w:rPr>
          <w:lang w:val="ru-RU"/>
        </w:rPr>
        <w:t xml:space="preserve">Требования к документации по ценообразованию на этапе заключения </w:t>
      </w:r>
      <w:r>
        <w:rPr>
          <w:lang w:val="ru-RU"/>
        </w:rPr>
        <w:t xml:space="preserve">(исполнения) </w:t>
      </w:r>
      <w:r>
        <w:rPr>
          <w:lang w:val="ru-RU"/>
        </w:rPr>
        <w:t xml:space="preserve">договора</w:t>
      </w:r>
      <w:bookmarkEnd w:id="0"/>
      <w:r>
        <w:rPr>
          <w:lang w:val="ru-RU"/>
        </w:rPr>
      </w:r>
      <w:r>
        <w:rPr>
          <w:lang w:val="ru-RU"/>
        </w:rPr>
      </w:r>
    </w:p>
    <w:p>
      <w:pPr>
        <w:ind w:left="0" w:firstLine="720"/>
        <w:jc w:val="both"/>
        <w:spacing w:before="60" w:after="60"/>
        <w:rPr>
          <w:rFonts w:ascii="Times New Roman" w:hAnsi="Times New Roman" w:cs="Times New Roman"/>
          <w:bCs w:val="0"/>
          <w:i w:val="0"/>
          <w:sz w:val="28"/>
          <w:szCs w:val="28"/>
        </w:rPr>
        <w:suppressLineNumbers w:val="0"/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4.1.1. Сметная документация разрабатывается </w:t>
      </w:r>
      <w:r>
        <w:rPr>
          <w:rFonts w:ascii="Times New Roman" w:hAnsi="Times New Roman" w:eastAsia="Times New Roman" w:cs="Times New Roman"/>
          <w:bCs/>
          <w:i w:val="0"/>
          <w:iCs w:val="0"/>
          <w:sz w:val="24"/>
          <w:szCs w:val="24"/>
        </w:rPr>
        <w:t xml:space="preserve">Участником, с которым принято решение заключить договор</w:t>
      </w:r>
      <w:r>
        <w:rPr>
          <w:rFonts w:ascii="Times New Roman" w:hAnsi="Times New Roman" w:eastAsia="Times New Roman" w:cs="Times New Roman"/>
          <w:bCs w:val="0"/>
          <w:i w:val="0"/>
          <w:iCs w:val="0"/>
          <w:sz w:val="24"/>
          <w:szCs w:val="24"/>
        </w:rPr>
        <w:t xml:space="preserve"> на этапе заклю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чения ( исполнения) договора в соответствие с требованиями по оформлению и составлению документации по ценообразованию ( Приложение №1 к настоящим ТТ)</w:t>
      </w:r>
      <w:r>
        <w:rPr>
          <w:rFonts w:ascii="Times New Roman" w:hAnsi="Times New Roman" w:cs="Times New Roman"/>
          <w:bCs w:val="0"/>
          <w:i w:val="0"/>
          <w:sz w:val="28"/>
          <w:szCs w:val="28"/>
        </w:rPr>
      </w:r>
      <w:r>
        <w:rPr>
          <w:rFonts w:ascii="Times New Roman" w:hAnsi="Times New Roman" w:cs="Times New Roman"/>
          <w:bCs w:val="0"/>
          <w:i w:val="0"/>
          <w:sz w:val="28"/>
          <w:szCs w:val="28"/>
        </w:rPr>
      </w:r>
    </w:p>
    <w:p>
      <w:pPr>
        <w:ind w:left="0" w:firstLine="720"/>
        <w:jc w:val="both"/>
        <w:spacing w:after="120"/>
        <w:rPr>
          <w:rFonts w:ascii="Times New Roman" w:hAnsi="Times New Roman" w:cs="Times New Roman"/>
          <w:i/>
          <w:iCs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4.1.2. Е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сли стоимость по смете, разработанной Исполнителем, будет превышать стоимость, указанную в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оммерческом предложении, в ходе исполнения договора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Исполнителю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 необходимо применить соответствующий дополнительный понижающий коэффициент и откорректировать стоимость в сторону ее уменьшения.</w:t>
      </w: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ind w:left="0" w:firstLine="720"/>
        <w:jc w:val="both"/>
        <w:spacing w:after="120"/>
        <w:rPr>
          <w:rFonts w:ascii="Times New Roman" w:hAnsi="Times New Roman" w:eastAsia="Times New Roman" w:cs="Times New Roman"/>
          <w:i w:val="0"/>
          <w:iCs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4.1.3. Е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сли стоимость по смете, разработанной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Исполнителем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, будет ниже стоимости, указанной в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  <w:r>
        <w:rPr>
          <w:rFonts w:ascii="Times New Roman" w:hAnsi="Times New Roman" w:eastAsia="Times New Roman" w:cs="Times New Roman"/>
          <w:i w:val="0"/>
          <w:i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i w:val="0"/>
          <w:iCs/>
          <w:sz w:val="28"/>
          <w:szCs w:val="28"/>
          <w:highlight w:val="none"/>
        </w:rPr>
      </w:r>
    </w:p>
    <w:p>
      <w:pPr>
        <w:jc w:val="both"/>
        <w:tabs>
          <w:tab w:val="left" w:pos="851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jc w:val="both"/>
        <w:tabs>
          <w:tab w:val="left" w:pos="851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5. Приложения: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jc w:val="both"/>
        <w:tabs>
          <w:tab w:val="left" w:pos="851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981"/>
        <w:numPr>
          <w:ilvl w:val="0"/>
          <w:numId w:val="34"/>
        </w:numPr>
        <w:jc w:val="both"/>
        <w:tabs>
          <w:tab w:val="left" w:pos="851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Требования по оформлению и составлению документации по ценообразованию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81"/>
        <w:numPr>
          <w:ilvl w:val="0"/>
          <w:numId w:val="34"/>
        </w:numPr>
        <w:jc w:val="both"/>
        <w:tabs>
          <w:tab w:val="left" w:pos="851" w:leader="none"/>
        </w:tabs>
      </w:pPr>
      <w:r>
        <w:rPr>
          <w:b w:val="0"/>
          <w:bCs w:val="0"/>
          <w:sz w:val="24"/>
          <w:szCs w:val="24"/>
          <w:highlight w:val="none"/>
        </w:rPr>
        <w:t xml:space="preserve">Положение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о допуске персонала подрядных организаций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к выполнению работ на объектах АО «ДГК»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22.1-504-2026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both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</w:pPr>
      <w:r/>
      <w:r/>
    </w:p>
    <w:p>
      <w:r>
        <w:rPr>
          <w:rFonts w:eastAsiaTheme="minorEastAsia"/>
        </w:rPr>
        <w:t xml:space="preserve">  </w:t>
      </w:r>
      <w:r>
        <w:rPr>
          <w:rFonts w:eastAsiaTheme="minorEastAsia"/>
        </w:rPr>
        <w:t xml:space="preserve">                          </w:t>
      </w:r>
      <w:r/>
      <w:r/>
      <w:r/>
      <w:r/>
    </w:p>
    <w:sectPr>
      <w:footnotePr/>
      <w:endnotePr/>
      <w:type w:val="nextPage"/>
      <w:pgSz w:w="11906" w:h="16838" w:orient="portrait"/>
      <w:pgMar w:top="28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  <w:rPr>
        <w:rStyle w:val="948"/>
      </w:rPr>
      <w:framePr w:wrap="around" w:vAnchor="text" w:hAnchor="margin" w:xAlign="center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3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1005"/>
    <w:lvl w:ilvl="0">
      <w:start w:val="3"/>
      <w:numFmt w:val="decimal"/>
      <w:pStyle w:val="1005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6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pStyle w:val="1027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15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16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19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17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18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pStyle w:val="92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29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4"/>
      <w:numFmt w:val="bullet"/>
      <w:pStyle w:val="996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97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95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pStyle w:val="76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7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8"/>
        <w:szCs w:val="24"/>
      </w:rPr>
    </w:lvl>
    <w:lvl w:ilvl="2">
      <w:start w:val="1"/>
      <w:numFmt w:val="decimal"/>
      <w:pStyle w:val="77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86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styleLink w:val="1009"/>
    <w:lvl w:ilvl="0">
      <w:start w:val="1"/>
      <w:numFmt w:val="decimal"/>
      <w:pStyle w:val="1009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20"/>
  </w:num>
  <w:num w:numId="3">
    <w:abstractNumId w:val="0"/>
  </w:num>
  <w:num w:numId="4">
    <w:abstractNumId w:val="21"/>
  </w:num>
  <w:num w:numId="5">
    <w:abstractNumId w:val="26"/>
  </w:num>
  <w:num w:numId="6">
    <w:abstractNumId w:val="12"/>
  </w:num>
  <w:num w:numId="7">
    <w:abstractNumId w:val="3"/>
  </w:num>
  <w:num w:numId="8">
    <w:abstractNumId w:val="27"/>
  </w:num>
  <w:num w:numId="9">
    <w:abstractNumId w:val="16"/>
  </w:num>
  <w:num w:numId="10">
    <w:abstractNumId w:val="5"/>
  </w:num>
  <w:num w:numId="11">
    <w:abstractNumId w:val="23"/>
  </w:num>
  <w:num w:numId="12">
    <w:abstractNumId w:val="6"/>
  </w:num>
  <w:num w:numId="13">
    <w:abstractNumId w:val="25"/>
  </w:num>
  <w:num w:numId="14">
    <w:abstractNumId w:val="10"/>
  </w:num>
  <w:num w:numId="15">
    <w:abstractNumId w:val="22"/>
  </w:num>
  <w:num w:numId="16">
    <w:abstractNumId w:val="2"/>
  </w:num>
  <w:num w:numId="17">
    <w:abstractNumId w:val="18"/>
  </w:num>
  <w:num w:numId="18">
    <w:abstractNumId w:val="1"/>
  </w:num>
  <w:num w:numId="19">
    <w:abstractNumId w:val="24"/>
  </w:num>
  <w:num w:numId="20">
    <w:abstractNumId w:val="19"/>
  </w:num>
  <w:num w:numId="21">
    <w:abstractNumId w:val="28"/>
  </w:num>
  <w:num w:numId="22">
    <w:abstractNumId w:val="30"/>
  </w:num>
  <w:num w:numId="23">
    <w:abstractNumId w:val="14"/>
  </w:num>
  <w:num w:numId="24">
    <w:abstractNumId w:val="11"/>
  </w:num>
  <w:num w:numId="25">
    <w:abstractNumId w:val="31"/>
  </w:num>
  <w:num w:numId="26">
    <w:abstractNumId w:val="7"/>
  </w:num>
  <w:num w:numId="27">
    <w:abstractNumId w:val="13"/>
  </w:num>
  <w:num w:numId="28">
    <w:abstractNumId w:val="17"/>
  </w:num>
  <w:num w:numId="29">
    <w:abstractNumId w:val="8"/>
  </w:num>
  <w:num w:numId="30">
    <w:abstractNumId w:val="9"/>
  </w:num>
  <w:num w:numId="31">
    <w:abstractNumId w:val="4"/>
  </w:num>
  <w:num w:numId="32">
    <w:abstractNumId w:val="29"/>
  </w:num>
  <w:num w:numId="33">
    <w:abstractNumId w:val="32"/>
  </w:num>
  <w:num w:numId="34">
    <w:abstractNumId w:val="3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7" w:default="1">
    <w:name w:val="Normal"/>
    <w:qFormat/>
    <w:rPr>
      <w:sz w:val="28"/>
      <w:szCs w:val="28"/>
    </w:rPr>
  </w:style>
  <w:style w:type="paragraph" w:styleId="768">
    <w:name w:val="Heading 1"/>
    <w:basedOn w:val="770"/>
    <w:next w:val="767"/>
    <w:link w:val="968"/>
    <w:qFormat/>
    <w:pPr>
      <w:numPr>
        <w:ilvl w:val="0"/>
      </w:numPr>
      <w:outlineLvl w:val="0"/>
    </w:pPr>
    <w:rPr>
      <w:sz w:val="28"/>
      <w:szCs w:val="28"/>
    </w:rPr>
  </w:style>
  <w:style w:type="paragraph" w:styleId="769">
    <w:name w:val="Heading 2"/>
    <w:basedOn w:val="771"/>
    <w:next w:val="767"/>
    <w:link w:val="970"/>
    <w:qFormat/>
    <w:pPr>
      <w:outlineLvl w:val="1"/>
    </w:pPr>
  </w:style>
  <w:style w:type="paragraph" w:styleId="770">
    <w:name w:val="Heading 3"/>
    <w:basedOn w:val="767"/>
    <w:next w:val="767"/>
    <w:link w:val="971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71">
    <w:name w:val="Heading 4"/>
    <w:basedOn w:val="770"/>
    <w:next w:val="767"/>
    <w:link w:val="972"/>
    <w:qFormat/>
    <w:pPr>
      <w:numPr>
        <w:ilvl w:val="1"/>
      </w:numPr>
      <w:outlineLvl w:val="3"/>
    </w:pPr>
    <w:rPr>
      <w:bCs/>
    </w:rPr>
  </w:style>
  <w:style w:type="paragraph" w:styleId="772">
    <w:name w:val="Heading 5"/>
    <w:basedOn w:val="767"/>
    <w:next w:val="767"/>
    <w:link w:val="973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73">
    <w:name w:val="Heading 6"/>
    <w:basedOn w:val="767"/>
    <w:next w:val="767"/>
    <w:link w:val="965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74">
    <w:name w:val="Heading 7"/>
    <w:basedOn w:val="767"/>
    <w:next w:val="767"/>
    <w:link w:val="966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75">
    <w:name w:val="Heading 8"/>
    <w:basedOn w:val="767"/>
    <w:next w:val="767"/>
    <w:link w:val="967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76">
    <w:name w:val="Heading 9"/>
    <w:basedOn w:val="767"/>
    <w:next w:val="767"/>
    <w:link w:val="974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77" w:default="1">
    <w:name w:val="Default Paragraph Font"/>
    <w:uiPriority w:val="1"/>
    <w:semiHidden/>
    <w:unhideWhenUsed/>
  </w:style>
  <w:style w:type="table" w:styleId="7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9" w:default="1">
    <w:name w:val="No List"/>
    <w:uiPriority w:val="99"/>
    <w:semiHidden/>
    <w:unhideWhenUsed/>
  </w:style>
  <w:style w:type="character" w:styleId="780" w:customStyle="1">
    <w:name w:val="Title Char"/>
    <w:basedOn w:val="777"/>
    <w:uiPriority w:val="10"/>
    <w:rPr>
      <w:sz w:val="48"/>
      <w:szCs w:val="48"/>
    </w:rPr>
  </w:style>
  <w:style w:type="character" w:styleId="781" w:customStyle="1">
    <w:name w:val="Caption Char"/>
    <w:uiPriority w:val="99"/>
  </w:style>
  <w:style w:type="character" w:styleId="782" w:customStyle="1">
    <w:name w:val="Heading 1 Char"/>
    <w:basedOn w:val="777"/>
    <w:uiPriority w:val="9"/>
    <w:rPr>
      <w:rFonts w:ascii="Arial" w:hAnsi="Arial" w:eastAsia="Arial" w:cs="Arial"/>
      <w:sz w:val="40"/>
      <w:szCs w:val="40"/>
    </w:rPr>
  </w:style>
  <w:style w:type="character" w:styleId="783" w:customStyle="1">
    <w:name w:val="Heading 2 Char"/>
    <w:basedOn w:val="777"/>
    <w:uiPriority w:val="9"/>
    <w:rPr>
      <w:rFonts w:ascii="Arial" w:hAnsi="Arial" w:eastAsia="Arial" w:cs="Arial"/>
      <w:sz w:val="34"/>
    </w:rPr>
  </w:style>
  <w:style w:type="character" w:styleId="784" w:customStyle="1">
    <w:name w:val="Heading 3 Char"/>
    <w:basedOn w:val="777"/>
    <w:uiPriority w:val="9"/>
    <w:rPr>
      <w:rFonts w:ascii="Arial" w:hAnsi="Arial" w:eastAsia="Arial" w:cs="Arial"/>
      <w:sz w:val="30"/>
      <w:szCs w:val="30"/>
    </w:rPr>
  </w:style>
  <w:style w:type="character" w:styleId="785" w:customStyle="1">
    <w:name w:val="Heading 4 Char"/>
    <w:basedOn w:val="777"/>
    <w:uiPriority w:val="9"/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Heading 5 Char"/>
    <w:basedOn w:val="777"/>
    <w:uiPriority w:val="9"/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Heading 6 Char"/>
    <w:basedOn w:val="777"/>
    <w:uiPriority w:val="9"/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Heading 7 Char"/>
    <w:basedOn w:val="7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Heading 8 Char"/>
    <w:basedOn w:val="777"/>
    <w:uiPriority w:val="9"/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Heading 9 Char"/>
    <w:basedOn w:val="777"/>
    <w:uiPriority w:val="9"/>
    <w:rPr>
      <w:rFonts w:ascii="Arial" w:hAnsi="Arial" w:eastAsia="Arial" w:cs="Arial"/>
      <w:i/>
      <w:iCs/>
      <w:sz w:val="21"/>
      <w:szCs w:val="21"/>
    </w:rPr>
  </w:style>
  <w:style w:type="paragraph" w:styleId="791">
    <w:name w:val="Title"/>
    <w:basedOn w:val="767"/>
    <w:next w:val="767"/>
    <w:link w:val="7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2" w:customStyle="1">
    <w:name w:val="Название Знак1"/>
    <w:basedOn w:val="777"/>
    <w:link w:val="791"/>
    <w:uiPriority w:val="10"/>
    <w:rPr>
      <w:sz w:val="48"/>
      <w:szCs w:val="48"/>
    </w:rPr>
  </w:style>
  <w:style w:type="character" w:styleId="793" w:customStyle="1">
    <w:name w:val="Subtitle Char"/>
    <w:basedOn w:val="777"/>
    <w:uiPriority w:val="11"/>
    <w:rPr>
      <w:sz w:val="24"/>
      <w:szCs w:val="24"/>
    </w:rPr>
  </w:style>
  <w:style w:type="character" w:styleId="794" w:customStyle="1">
    <w:name w:val="Quote Char"/>
    <w:uiPriority w:val="29"/>
    <w:rPr>
      <w:i/>
    </w:rPr>
  </w:style>
  <w:style w:type="character" w:styleId="795" w:customStyle="1">
    <w:name w:val="Intense Quote Char"/>
    <w:uiPriority w:val="30"/>
    <w:rPr>
      <w:i/>
    </w:rPr>
  </w:style>
  <w:style w:type="character" w:styleId="796" w:customStyle="1">
    <w:name w:val="Header Char"/>
    <w:basedOn w:val="777"/>
    <w:uiPriority w:val="99"/>
  </w:style>
  <w:style w:type="character" w:styleId="797" w:customStyle="1">
    <w:name w:val="Footer Char"/>
    <w:basedOn w:val="777"/>
    <w:uiPriority w:val="99"/>
  </w:style>
  <w:style w:type="character" w:styleId="798" w:customStyle="1">
    <w:name w:val="Нижний колонтитул Знак"/>
    <w:link w:val="939"/>
    <w:uiPriority w:val="99"/>
  </w:style>
  <w:style w:type="table" w:styleId="799" w:customStyle="1">
    <w:name w:val="Table Grid Light"/>
    <w:basedOn w:val="77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0" w:customStyle="1">
    <w:name w:val="Plain Table 1"/>
    <w:basedOn w:val="77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 w:customStyle="1">
    <w:name w:val="Plain Table 2"/>
    <w:basedOn w:val="778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 w:customStyle="1">
    <w:name w:val="Plain Table 3"/>
    <w:basedOn w:val="77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3" w:customStyle="1">
    <w:name w:val="Plain Table 4"/>
    <w:basedOn w:val="77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Plain Table 5"/>
    <w:basedOn w:val="77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1 Light"/>
    <w:basedOn w:val="778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1"/>
    <w:basedOn w:val="778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2"/>
    <w:basedOn w:val="778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3"/>
    <w:basedOn w:val="778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4"/>
    <w:basedOn w:val="778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5"/>
    <w:basedOn w:val="778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6"/>
    <w:basedOn w:val="778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2"/>
    <w:basedOn w:val="77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1"/>
    <w:basedOn w:val="778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2"/>
    <w:basedOn w:val="778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3"/>
    <w:basedOn w:val="778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4"/>
    <w:basedOn w:val="778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5"/>
    <w:basedOn w:val="778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6"/>
    <w:basedOn w:val="778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"/>
    <w:basedOn w:val="77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1"/>
    <w:basedOn w:val="778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2"/>
    <w:basedOn w:val="778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3"/>
    <w:basedOn w:val="778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4"/>
    <w:basedOn w:val="778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5"/>
    <w:basedOn w:val="778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6"/>
    <w:basedOn w:val="778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4"/>
    <w:basedOn w:val="778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7" w:customStyle="1">
    <w:name w:val="Grid Table 4 - Accent 1"/>
    <w:basedOn w:val="778"/>
    <w:uiPriority w:val="5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28" w:customStyle="1">
    <w:name w:val="Grid Table 4 - Accent 2"/>
    <w:basedOn w:val="778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29" w:customStyle="1">
    <w:name w:val="Grid Table 4 - Accent 3"/>
    <w:basedOn w:val="778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30" w:customStyle="1">
    <w:name w:val="Grid Table 4 - Accent 4"/>
    <w:basedOn w:val="778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31" w:customStyle="1">
    <w:name w:val="Grid Table 4 - Accent 5"/>
    <w:basedOn w:val="778"/>
    <w:uiPriority w:val="5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32" w:customStyle="1">
    <w:name w:val="Grid Table 4 - Accent 6"/>
    <w:basedOn w:val="778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33" w:customStyle="1">
    <w:name w:val="Grid Table 5 Dark"/>
    <w:basedOn w:val="77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- Accent 1"/>
    <w:basedOn w:val="77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2"/>
    <w:basedOn w:val="77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3"/>
    <w:basedOn w:val="77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- Accent 4"/>
    <w:basedOn w:val="77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5"/>
    <w:basedOn w:val="77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6"/>
    <w:basedOn w:val="77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6 Colorful"/>
    <w:basedOn w:val="77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1" w:customStyle="1">
    <w:name w:val="Grid Table 6 Colorful - Accent 1"/>
    <w:basedOn w:val="778"/>
    <w:uiPriority w:val="99"/>
    <w:tblPr>
      <w:tblStyleRowBandSize w:val="1"/>
      <w:tblStyleColBandSize w:val="1"/>
      <w:tblInd w:w="0" w:type="dxa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42" w:customStyle="1">
    <w:name w:val="Grid Table 6 Colorful - Accent 2"/>
    <w:basedOn w:val="77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43" w:customStyle="1">
    <w:name w:val="Grid Table 6 Colorful - Accent 3"/>
    <w:basedOn w:val="778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44" w:customStyle="1">
    <w:name w:val="Grid Table 6 Colorful - Accent 4"/>
    <w:basedOn w:val="77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45" w:customStyle="1">
    <w:name w:val="Grid Table 6 Colorful - Accent 5"/>
    <w:basedOn w:val="778"/>
    <w:uiPriority w:val="99"/>
    <w:tblPr>
      <w:tblStyleRowBandSize w:val="1"/>
      <w:tblStyleColBandSize w:val="1"/>
      <w:tblInd w:w="0" w:type="dxa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46" w:customStyle="1">
    <w:name w:val="Grid Table 6 Colorful - Accent 6"/>
    <w:basedOn w:val="778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47" w:customStyle="1">
    <w:name w:val="Grid Table 7 Colorful"/>
    <w:basedOn w:val="778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1"/>
    <w:basedOn w:val="778"/>
    <w:uiPriority w:val="99"/>
    <w:tblPr>
      <w:tblStyleRowBandSize w:val="1"/>
      <w:tblStyleColBandSize w:val="1"/>
      <w:tblInd w:w="0" w:type="dxa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2"/>
    <w:basedOn w:val="778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3"/>
    <w:basedOn w:val="778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4"/>
    <w:basedOn w:val="778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5"/>
    <w:basedOn w:val="778"/>
    <w:uiPriority w:val="99"/>
    <w:tblPr>
      <w:tblStyleRowBandSize w:val="1"/>
      <w:tblStyleColBandSize w:val="1"/>
      <w:tblInd w:w="0" w:type="dxa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6"/>
    <w:basedOn w:val="778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"/>
    <w:basedOn w:val="77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1"/>
    <w:basedOn w:val="77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2"/>
    <w:basedOn w:val="77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3"/>
    <w:basedOn w:val="77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4"/>
    <w:basedOn w:val="77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5"/>
    <w:basedOn w:val="77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6"/>
    <w:basedOn w:val="77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2"/>
    <w:basedOn w:val="778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1"/>
    <w:basedOn w:val="778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2"/>
    <w:basedOn w:val="778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3"/>
    <w:basedOn w:val="778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4"/>
    <w:basedOn w:val="778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5"/>
    <w:basedOn w:val="778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6"/>
    <w:basedOn w:val="778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68" w:customStyle="1">
    <w:name w:val="List Table 3"/>
    <w:basedOn w:val="77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1"/>
    <w:basedOn w:val="778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2"/>
    <w:basedOn w:val="77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3"/>
    <w:basedOn w:val="778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4"/>
    <w:basedOn w:val="77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5"/>
    <w:basedOn w:val="778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6"/>
    <w:basedOn w:val="778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"/>
    <w:basedOn w:val="77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1"/>
    <w:basedOn w:val="778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2"/>
    <w:basedOn w:val="778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3"/>
    <w:basedOn w:val="778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4"/>
    <w:basedOn w:val="778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5"/>
    <w:basedOn w:val="778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6"/>
    <w:basedOn w:val="778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5 Dark"/>
    <w:basedOn w:val="77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1"/>
    <w:basedOn w:val="778"/>
    <w:uiPriority w:val="99"/>
    <w:tblPr>
      <w:tblStyleRowBandSize w:val="1"/>
      <w:tblStyleColBandSize w:val="1"/>
      <w:tblInd w:w="0" w:type="dxa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2"/>
    <w:basedOn w:val="77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3"/>
    <w:basedOn w:val="778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4"/>
    <w:basedOn w:val="77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5"/>
    <w:basedOn w:val="778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6"/>
    <w:basedOn w:val="778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6 Colorful"/>
    <w:basedOn w:val="77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0" w:customStyle="1">
    <w:name w:val="List Table 6 Colorful - Accent 1"/>
    <w:basedOn w:val="778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bottom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91" w:customStyle="1">
    <w:name w:val="List Table 6 Colorful - Accent 2"/>
    <w:basedOn w:val="77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92" w:customStyle="1">
    <w:name w:val="List Table 6 Colorful - Accent 3"/>
    <w:basedOn w:val="778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93" w:customStyle="1">
    <w:name w:val="List Table 6 Colorful - Accent 4"/>
    <w:basedOn w:val="77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94" w:customStyle="1">
    <w:name w:val="List Table 6 Colorful - Accent 5"/>
    <w:basedOn w:val="778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95" w:customStyle="1">
    <w:name w:val="List Table 6 Colorful - Accent 6"/>
    <w:basedOn w:val="778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96" w:customStyle="1">
    <w:name w:val="List Table 7 Colorful"/>
    <w:basedOn w:val="778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1"/>
    <w:basedOn w:val="778"/>
    <w:uiPriority w:val="99"/>
    <w:tblPr>
      <w:tblStyleRowBandSize w:val="1"/>
      <w:tblStyleColBandSize w:val="1"/>
      <w:tblInd w:w="0" w:type="dxa"/>
      <w:tblBorders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2"/>
    <w:basedOn w:val="778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3"/>
    <w:basedOn w:val="778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4"/>
    <w:basedOn w:val="778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5"/>
    <w:basedOn w:val="778"/>
    <w:uiPriority w:val="99"/>
    <w:tblPr>
      <w:tblStyleRowBandSize w:val="1"/>
      <w:tblStyleColBandSize w:val="1"/>
      <w:tblInd w:w="0" w:type="dxa"/>
      <w:tblBorders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6"/>
    <w:basedOn w:val="778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ned - Accent"/>
    <w:basedOn w:val="77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4" w:customStyle="1">
    <w:name w:val="Lined - Accent 1"/>
    <w:basedOn w:val="77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05" w:customStyle="1">
    <w:name w:val="Lined - Accent 2"/>
    <w:basedOn w:val="77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06" w:customStyle="1">
    <w:name w:val="Lined - Accent 3"/>
    <w:basedOn w:val="77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07" w:customStyle="1">
    <w:name w:val="Lined - Accent 4"/>
    <w:basedOn w:val="77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08" w:customStyle="1">
    <w:name w:val="Lined - Accent 5"/>
    <w:basedOn w:val="77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09" w:customStyle="1">
    <w:name w:val="Lined - Accent 6"/>
    <w:basedOn w:val="77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0" w:customStyle="1">
    <w:name w:val="Bordered &amp; Lined - Accent"/>
    <w:basedOn w:val="77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1" w:customStyle="1">
    <w:name w:val="Bordered &amp; Lined - Accent 1"/>
    <w:basedOn w:val="77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12" w:customStyle="1">
    <w:name w:val="Bordered &amp; Lined - Accent 2"/>
    <w:basedOn w:val="77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13" w:customStyle="1">
    <w:name w:val="Bordered &amp; Lined - Accent 3"/>
    <w:basedOn w:val="77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14" w:customStyle="1">
    <w:name w:val="Bordered &amp; Lined - Accent 4"/>
    <w:basedOn w:val="77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5" w:customStyle="1">
    <w:name w:val="Bordered &amp; Lined - Accent 5"/>
    <w:basedOn w:val="77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16" w:customStyle="1">
    <w:name w:val="Bordered &amp; Lined - Accent 6"/>
    <w:basedOn w:val="77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7" w:customStyle="1">
    <w:name w:val="Bordered"/>
    <w:basedOn w:val="778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8" w:customStyle="1">
    <w:name w:val="Bordered - Accent 1"/>
    <w:basedOn w:val="778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19" w:customStyle="1">
    <w:name w:val="Bordered - Accent 2"/>
    <w:basedOn w:val="778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20" w:customStyle="1">
    <w:name w:val="Bordered - Accent 3"/>
    <w:basedOn w:val="778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21" w:customStyle="1">
    <w:name w:val="Bordered - Accent 4"/>
    <w:basedOn w:val="778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22" w:customStyle="1">
    <w:name w:val="Bordered - Accent 5"/>
    <w:basedOn w:val="778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23" w:customStyle="1">
    <w:name w:val="Bordered - Accent 6"/>
    <w:basedOn w:val="778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24" w:customStyle="1">
    <w:name w:val="Footnote Text Char"/>
    <w:uiPriority w:val="99"/>
    <w:rPr>
      <w:sz w:val="18"/>
    </w:rPr>
  </w:style>
  <w:style w:type="character" w:styleId="925" w:customStyle="1">
    <w:name w:val="Endnote Text Char"/>
    <w:uiPriority w:val="99"/>
    <w:rPr>
      <w:sz w:val="20"/>
    </w:rPr>
  </w:style>
  <w:style w:type="paragraph" w:styleId="926">
    <w:name w:val="table of figures"/>
    <w:basedOn w:val="767"/>
    <w:next w:val="767"/>
    <w:uiPriority w:val="99"/>
    <w:unhideWhenUsed/>
  </w:style>
  <w:style w:type="paragraph" w:styleId="927" w:customStyle="1">
    <w:name w:val="Название раздела инструкции"/>
    <w:basedOn w:val="767"/>
    <w:pPr>
      <w:jc w:val="center"/>
    </w:pPr>
    <w:rPr>
      <w:b/>
    </w:rPr>
  </w:style>
  <w:style w:type="paragraph" w:styleId="928" w:customStyle="1">
    <w:name w:val="Раздел положения"/>
    <w:basedOn w:val="76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29" w:customStyle="1">
    <w:name w:val="Подраздел раздела положения"/>
    <w:basedOn w:val="767"/>
    <w:pPr>
      <w:numPr>
        <w:ilvl w:val="1"/>
        <w:numId w:val="1"/>
      </w:numPr>
      <w:jc w:val="both"/>
      <w:spacing w:before="80" w:after="80"/>
    </w:pPr>
  </w:style>
  <w:style w:type="paragraph" w:styleId="930">
    <w:name w:val="footnote text"/>
    <w:basedOn w:val="767"/>
    <w:link w:val="1004"/>
    <w:rPr>
      <w:sz w:val="20"/>
      <w:szCs w:val="20"/>
    </w:rPr>
  </w:style>
  <w:style w:type="character" w:styleId="931">
    <w:name w:val="footnote reference"/>
    <w:rPr>
      <w:vertAlign w:val="superscript"/>
    </w:rPr>
  </w:style>
  <w:style w:type="paragraph" w:styleId="932" w:customStyle="1">
    <w:name w:val="Шапка 1"/>
    <w:basedOn w:val="76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33" w:customStyle="1">
    <w:name w:val="Шапка 2"/>
    <w:basedOn w:val="76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34" w:customStyle="1">
    <w:name w:val="Шапка 3"/>
    <w:basedOn w:val="76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35" w:customStyle="1">
    <w:name w:val="Название1"/>
    <w:basedOn w:val="767"/>
    <w:link w:val="977"/>
    <w:uiPriority w:val="10"/>
    <w:qFormat/>
    <w:pPr>
      <w:jc w:val="center"/>
    </w:pPr>
    <w:rPr>
      <w:sz w:val="20"/>
      <w:szCs w:val="20"/>
    </w:rPr>
  </w:style>
  <w:style w:type="paragraph" w:styleId="936">
    <w:name w:val="Header"/>
    <w:basedOn w:val="767"/>
    <w:link w:val="1021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37">
    <w:name w:val="Body Text Indent"/>
    <w:basedOn w:val="767"/>
    <w:pPr>
      <w:ind w:left="360"/>
    </w:pPr>
    <w:rPr>
      <w:sz w:val="24"/>
      <w:szCs w:val="24"/>
    </w:rPr>
  </w:style>
  <w:style w:type="table" w:styleId="938">
    <w:name w:val="Table Grid"/>
    <w:basedOn w:val="778"/>
    <w:uiPriority w:val="3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39">
    <w:name w:val="Footer"/>
    <w:basedOn w:val="767"/>
    <w:link w:val="798"/>
    <w:pPr>
      <w:tabs>
        <w:tab w:val="center" w:pos="4677" w:leader="none"/>
        <w:tab w:val="right" w:pos="9355" w:leader="none"/>
      </w:tabs>
    </w:pPr>
  </w:style>
  <w:style w:type="paragraph" w:styleId="940">
    <w:name w:val="Body Text"/>
    <w:basedOn w:val="767"/>
    <w:link w:val="1007"/>
    <w:pPr>
      <w:spacing w:after="120"/>
    </w:pPr>
  </w:style>
  <w:style w:type="paragraph" w:styleId="941">
    <w:name w:val="Body Text Indent 2"/>
    <w:basedOn w:val="767"/>
    <w:pPr>
      <w:ind w:left="283"/>
      <w:spacing w:after="120" w:line="480" w:lineRule="auto"/>
    </w:pPr>
  </w:style>
  <w:style w:type="paragraph" w:styleId="942">
    <w:name w:val="Body Text 3"/>
    <w:basedOn w:val="767"/>
    <w:pPr>
      <w:spacing w:after="120"/>
    </w:pPr>
    <w:rPr>
      <w:sz w:val="16"/>
      <w:szCs w:val="16"/>
    </w:rPr>
  </w:style>
  <w:style w:type="paragraph" w:styleId="943">
    <w:name w:val="Body Text Indent 3"/>
    <w:basedOn w:val="767"/>
    <w:pPr>
      <w:ind w:left="283"/>
      <w:spacing w:after="120"/>
    </w:pPr>
    <w:rPr>
      <w:sz w:val="16"/>
      <w:szCs w:val="16"/>
    </w:rPr>
  </w:style>
  <w:style w:type="paragraph" w:styleId="944">
    <w:name w:val="Body Text 2"/>
    <w:basedOn w:val="767"/>
    <w:pPr>
      <w:spacing w:after="120" w:line="480" w:lineRule="auto"/>
    </w:pPr>
  </w:style>
  <w:style w:type="paragraph" w:styleId="945">
    <w:name w:val="Block Text"/>
    <w:basedOn w:val="767"/>
    <w:pPr>
      <w:ind w:left="-567" w:right="-766"/>
      <w:jc w:val="center"/>
    </w:pPr>
    <w:rPr>
      <w:b/>
      <w:bCs/>
      <w:sz w:val="24"/>
      <w:szCs w:val="20"/>
    </w:rPr>
  </w:style>
  <w:style w:type="paragraph" w:styleId="946" w:customStyle="1">
    <w:name w:val="Подпункт"/>
    <w:basedOn w:val="767"/>
    <w:link w:val="1002"/>
    <w:pPr>
      <w:ind w:left="1134" w:hanging="1134"/>
      <w:jc w:val="both"/>
      <w:spacing w:line="360" w:lineRule="auto"/>
      <w:tabs>
        <w:tab w:val="num" w:pos="1134" w:leader="none"/>
      </w:tabs>
    </w:pPr>
    <w:rPr>
      <w:sz w:val="20"/>
      <w:szCs w:val="20"/>
    </w:rPr>
  </w:style>
  <w:style w:type="paragraph" w:styleId="947" w:customStyle="1">
    <w:name w:val="Пункт2"/>
    <w:basedOn w:val="767"/>
    <w:link w:val="1028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 w:val="20"/>
      <w:szCs w:val="20"/>
    </w:rPr>
  </w:style>
  <w:style w:type="character" w:styleId="948">
    <w:name w:val="page number"/>
    <w:basedOn w:val="777"/>
  </w:style>
  <w:style w:type="paragraph" w:styleId="949">
    <w:name w:val="toc 1"/>
    <w:basedOn w:val="767"/>
    <w:next w:val="76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50">
    <w:name w:val="toc 3"/>
    <w:basedOn w:val="767"/>
    <w:next w:val="767"/>
    <w:uiPriority w:val="39"/>
    <w:pPr>
      <w:ind w:left="280"/>
    </w:pPr>
    <w:rPr>
      <w:rFonts w:cstheme="minorHAnsi"/>
      <w:sz w:val="20"/>
      <w:szCs w:val="20"/>
    </w:rPr>
  </w:style>
  <w:style w:type="character" w:styleId="951">
    <w:name w:val="Hyperlink"/>
    <w:uiPriority w:val="99"/>
    <w:rPr>
      <w:color w:val="0000ff"/>
      <w:u w:val="single"/>
    </w:rPr>
  </w:style>
  <w:style w:type="paragraph" w:styleId="952" w:customStyle="1">
    <w:name w:val="Раздел регламента"/>
    <w:basedOn w:val="767"/>
  </w:style>
  <w:style w:type="paragraph" w:styleId="953" w:customStyle="1">
    <w:name w:val="Приложение к регламенту"/>
    <w:basedOn w:val="767"/>
    <w:pPr>
      <w:jc w:val="right"/>
    </w:pPr>
  </w:style>
  <w:style w:type="paragraph" w:styleId="954">
    <w:name w:val="toc 2"/>
    <w:basedOn w:val="767"/>
    <w:next w:val="767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955">
    <w:name w:val="Balloon Text"/>
    <w:basedOn w:val="767"/>
    <w:semiHidden/>
    <w:rPr>
      <w:rFonts w:ascii="Tahoma" w:hAnsi="Tahoma" w:cs="Tahoma"/>
      <w:sz w:val="16"/>
      <w:szCs w:val="16"/>
    </w:rPr>
  </w:style>
  <w:style w:type="character" w:styleId="956">
    <w:name w:val="annotation reference"/>
    <w:semiHidden/>
    <w:rPr>
      <w:sz w:val="16"/>
      <w:szCs w:val="16"/>
    </w:rPr>
  </w:style>
  <w:style w:type="paragraph" w:styleId="957">
    <w:name w:val="annotation text"/>
    <w:basedOn w:val="767"/>
    <w:link w:val="1022"/>
    <w:semiHidden/>
    <w:rPr>
      <w:sz w:val="20"/>
      <w:szCs w:val="20"/>
    </w:rPr>
  </w:style>
  <w:style w:type="paragraph" w:styleId="958">
    <w:name w:val="annotation subject"/>
    <w:basedOn w:val="957"/>
    <w:next w:val="957"/>
    <w:semiHidden/>
    <w:rPr>
      <w:b/>
      <w:bCs/>
    </w:rPr>
  </w:style>
  <w:style w:type="paragraph" w:styleId="959" w:customStyle="1">
    <w:name w:val="Обычный (веб)1"/>
    <w:basedOn w:val="76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60">
    <w:name w:val="toc 9"/>
    <w:basedOn w:val="767"/>
    <w:next w:val="76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61">
    <w:name w:val="toc 5"/>
    <w:basedOn w:val="767"/>
    <w:next w:val="76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62">
    <w:name w:val="toc 4"/>
    <w:basedOn w:val="767"/>
    <w:next w:val="767"/>
    <w:uiPriority w:val="39"/>
    <w:pPr>
      <w:ind w:left="560"/>
      <w:tabs>
        <w:tab w:val="left" w:pos="1120" w:leader="none"/>
        <w:tab w:val="right" w:pos="9911" w:leader="none"/>
      </w:tabs>
    </w:pPr>
    <w:rPr>
      <w:rFonts w:cstheme="minorHAnsi"/>
      <w:sz w:val="20"/>
      <w:szCs w:val="20"/>
    </w:rPr>
  </w:style>
  <w:style w:type="paragraph" w:styleId="963" w:customStyle="1">
    <w:name w:val="Раздел положения 2"/>
    <w:basedOn w:val="767"/>
    <w:pPr>
      <w:jc w:val="both"/>
      <w:pageBreakBefore/>
      <w:outlineLvl w:val="0"/>
    </w:pPr>
    <w:rPr>
      <w:b/>
    </w:rPr>
  </w:style>
  <w:style w:type="character" w:styleId="964">
    <w:name w:val="Strong"/>
    <w:uiPriority w:val="22"/>
    <w:qFormat/>
    <w:rPr>
      <w:b/>
      <w:bCs/>
    </w:rPr>
  </w:style>
  <w:style w:type="character" w:styleId="965" w:customStyle="1">
    <w:name w:val="Заголовок 6 Знак"/>
    <w:link w:val="773"/>
    <w:uiPriority w:val="9"/>
    <w:rPr>
      <w:rFonts w:ascii="Cambria" w:hAnsi="Cambria"/>
      <w:i/>
      <w:iCs/>
      <w:color w:val="243f60"/>
    </w:rPr>
  </w:style>
  <w:style w:type="character" w:styleId="966" w:customStyle="1">
    <w:name w:val="Заголовок 7 Знак"/>
    <w:link w:val="774"/>
    <w:uiPriority w:val="9"/>
    <w:rPr>
      <w:rFonts w:ascii="Cambria" w:hAnsi="Cambria"/>
      <w:i/>
      <w:iCs/>
      <w:color w:val="404040"/>
    </w:rPr>
  </w:style>
  <w:style w:type="character" w:styleId="967" w:customStyle="1">
    <w:name w:val="Заголовок 8 Знак"/>
    <w:link w:val="775"/>
    <w:uiPriority w:val="9"/>
    <w:rPr>
      <w:rFonts w:ascii="Cambria" w:hAnsi="Cambria"/>
      <w:color w:val="4f81bd"/>
    </w:rPr>
  </w:style>
  <w:style w:type="character" w:styleId="968" w:customStyle="1">
    <w:name w:val="Заголовок 1 Знак"/>
    <w:link w:val="768"/>
    <w:rPr>
      <w:rFonts w:eastAsia="Calibri"/>
      <w:b/>
      <w:sz w:val="28"/>
      <w:szCs w:val="28"/>
    </w:rPr>
  </w:style>
  <w:style w:type="paragraph" w:styleId="969" w:customStyle="1">
    <w:name w:val="Знак Знак Знак Знак Знак Знак Знак Знак Знак"/>
    <w:basedOn w:val="76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70" w:customStyle="1">
    <w:name w:val="Заголовок 2 Знак"/>
    <w:link w:val="769"/>
    <w:rPr>
      <w:rFonts w:eastAsia="Calibri"/>
      <w:b/>
      <w:bCs/>
      <w:sz w:val="24"/>
      <w:szCs w:val="24"/>
    </w:rPr>
  </w:style>
  <w:style w:type="character" w:styleId="971" w:customStyle="1">
    <w:name w:val="Заголовок 3 Знак"/>
    <w:link w:val="770"/>
    <w:rPr>
      <w:rFonts w:eastAsia="Calibri"/>
      <w:b/>
      <w:sz w:val="24"/>
      <w:szCs w:val="24"/>
    </w:rPr>
  </w:style>
  <w:style w:type="character" w:styleId="972" w:customStyle="1">
    <w:name w:val="Заголовок 4 Знак"/>
    <w:link w:val="771"/>
    <w:rPr>
      <w:rFonts w:eastAsia="Calibri"/>
      <w:b/>
      <w:bCs/>
      <w:sz w:val="24"/>
      <w:szCs w:val="24"/>
    </w:rPr>
  </w:style>
  <w:style w:type="character" w:styleId="973" w:customStyle="1">
    <w:name w:val="Заголовок 5 Знак"/>
    <w:link w:val="772"/>
    <w:uiPriority w:val="9"/>
    <w:rPr>
      <w:b/>
      <w:bCs/>
      <w:i/>
      <w:iCs/>
      <w:sz w:val="26"/>
      <w:szCs w:val="26"/>
    </w:rPr>
  </w:style>
  <w:style w:type="character" w:styleId="974" w:customStyle="1">
    <w:name w:val="Заголовок 9 Знак"/>
    <w:link w:val="776"/>
    <w:uiPriority w:val="9"/>
    <w:rPr>
      <w:rFonts w:ascii="Arial" w:hAnsi="Arial" w:cs="Arial"/>
      <w:sz w:val="22"/>
      <w:szCs w:val="22"/>
    </w:rPr>
  </w:style>
  <w:style w:type="paragraph" w:styleId="975">
    <w:name w:val="No Spacing"/>
    <w:basedOn w:val="76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76">
    <w:name w:val="Caption"/>
    <w:basedOn w:val="767"/>
    <w:next w:val="767"/>
    <w:link w:val="781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77" w:customStyle="1">
    <w:name w:val="Название Знак"/>
    <w:link w:val="935"/>
    <w:uiPriority w:val="10"/>
    <w:rPr>
      <w:sz w:val="28"/>
    </w:rPr>
  </w:style>
  <w:style w:type="paragraph" w:styleId="978">
    <w:name w:val="Subtitle"/>
    <w:basedOn w:val="767"/>
    <w:next w:val="767"/>
    <w:link w:val="979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79" w:customStyle="1">
    <w:name w:val="Подзаголовок Знак"/>
    <w:link w:val="978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80">
    <w:name w:val="Emphasis"/>
    <w:uiPriority w:val="20"/>
    <w:qFormat/>
    <w:rPr>
      <w:i/>
      <w:iCs/>
    </w:rPr>
  </w:style>
  <w:style w:type="paragraph" w:styleId="981">
    <w:name w:val="List Paragraph"/>
    <w:basedOn w:val="767"/>
    <w:link w:val="1011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82">
    <w:name w:val="Quote"/>
    <w:basedOn w:val="767"/>
    <w:next w:val="767"/>
    <w:link w:val="983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83" w:customStyle="1">
    <w:name w:val="Цитата 2 Знак"/>
    <w:link w:val="982"/>
    <w:uiPriority w:val="29"/>
    <w:rPr>
      <w:rFonts w:ascii="Calibri" w:hAnsi="Calibri" w:eastAsia="Calibri"/>
      <w:i/>
      <w:iCs/>
      <w:color w:val="000000"/>
    </w:rPr>
  </w:style>
  <w:style w:type="paragraph" w:styleId="984">
    <w:name w:val="Intense Quote"/>
    <w:basedOn w:val="767"/>
    <w:next w:val="767"/>
    <w:link w:val="985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85" w:customStyle="1">
    <w:name w:val="Выделенная цитата Знак"/>
    <w:link w:val="984"/>
    <w:uiPriority w:val="30"/>
    <w:rPr>
      <w:rFonts w:ascii="Calibri" w:hAnsi="Calibri" w:eastAsia="Calibri"/>
      <w:b/>
      <w:bCs/>
      <w:i/>
      <w:iCs/>
      <w:color w:val="4f81bd"/>
    </w:rPr>
  </w:style>
  <w:style w:type="character" w:styleId="986">
    <w:name w:val="Subtle Emphasis"/>
    <w:uiPriority w:val="19"/>
    <w:qFormat/>
    <w:rPr>
      <w:i/>
      <w:iCs/>
      <w:color w:val="808080"/>
    </w:rPr>
  </w:style>
  <w:style w:type="character" w:styleId="987">
    <w:name w:val="Intense Emphasis"/>
    <w:uiPriority w:val="21"/>
    <w:qFormat/>
    <w:rPr>
      <w:b/>
      <w:bCs/>
      <w:i/>
      <w:iCs/>
      <w:color w:val="4f81bd"/>
    </w:rPr>
  </w:style>
  <w:style w:type="character" w:styleId="988">
    <w:name w:val="Subtle Reference"/>
    <w:uiPriority w:val="31"/>
    <w:qFormat/>
    <w:rPr>
      <w:smallCaps/>
      <w:color w:val="c0504d"/>
      <w:u w:val="single"/>
    </w:rPr>
  </w:style>
  <w:style w:type="character" w:styleId="989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90">
    <w:name w:val="Book Title"/>
    <w:uiPriority w:val="33"/>
    <w:qFormat/>
    <w:rPr>
      <w:b/>
      <w:bCs/>
      <w:smallCaps/>
      <w:spacing w:val="5"/>
    </w:rPr>
  </w:style>
  <w:style w:type="paragraph" w:styleId="991">
    <w:name w:val="TOC Heading"/>
    <w:basedOn w:val="768"/>
    <w:next w:val="76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92">
    <w:name w:val="E-mail Signature"/>
    <w:basedOn w:val="767"/>
    <w:link w:val="993"/>
    <w:uiPriority w:val="99"/>
    <w:unhideWhenUsed/>
    <w:rPr>
      <w:rFonts w:eastAsia="Calibri"/>
      <w:sz w:val="24"/>
      <w:szCs w:val="24"/>
    </w:rPr>
  </w:style>
  <w:style w:type="character" w:styleId="993" w:customStyle="1">
    <w:name w:val="Электронная подпись Знак"/>
    <w:link w:val="992"/>
    <w:uiPriority w:val="99"/>
    <w:rPr>
      <w:rFonts w:eastAsia="Calibri"/>
      <w:sz w:val="24"/>
      <w:szCs w:val="24"/>
    </w:rPr>
  </w:style>
  <w:style w:type="paragraph" w:styleId="994" w:customStyle="1">
    <w:name w:val="Знак"/>
    <w:basedOn w:val="7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5" w:customStyle="1">
    <w:name w:val="Нумерованный список ур3"/>
    <w:basedOn w:val="76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96" w:customStyle="1">
    <w:name w:val="Нумерованный список 1"/>
    <w:basedOn w:val="76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97" w:customStyle="1">
    <w:name w:val="Нумерованный список ур2"/>
    <w:basedOn w:val="76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98">
    <w:name w:val="Revision"/>
    <w:hidden/>
    <w:uiPriority w:val="99"/>
    <w:semiHidden/>
    <w:rPr>
      <w:rFonts w:eastAsia="Calibri"/>
      <w:sz w:val="24"/>
      <w:szCs w:val="24"/>
    </w:rPr>
  </w:style>
  <w:style w:type="paragraph" w:styleId="999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00" w:customStyle="1">
    <w:name w:val="Знак Знак3 Знак Знак"/>
    <w:basedOn w:val="76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01" w:customStyle="1">
    <w:name w:val="Пункт"/>
    <w:basedOn w:val="76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 w:val="20"/>
      <w:szCs w:val="20"/>
    </w:rPr>
  </w:style>
  <w:style w:type="character" w:styleId="1002" w:customStyle="1">
    <w:name w:val="Подпункт Знак1"/>
    <w:link w:val="946"/>
    <w:rPr>
      <w:sz w:val="28"/>
    </w:rPr>
  </w:style>
  <w:style w:type="paragraph" w:styleId="1003" w:customStyle="1">
    <w:name w:val="Абзац списка1"/>
    <w:basedOn w:val="76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04" w:customStyle="1">
    <w:name w:val="Текст сноски Знак"/>
    <w:link w:val="930"/>
  </w:style>
  <w:style w:type="numbering" w:styleId="1005" w:customStyle="1">
    <w:name w:val="Стиль1"/>
    <w:uiPriority w:val="99"/>
    <w:pPr>
      <w:numPr>
        <w:ilvl w:val="0"/>
        <w:numId w:val="3"/>
      </w:numPr>
    </w:pPr>
  </w:style>
  <w:style w:type="paragraph" w:styleId="1006" w:customStyle="1">
    <w:name w:val="Таблица"/>
    <w:basedOn w:val="76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07" w:customStyle="1">
    <w:name w:val="Основной текст Знак"/>
    <w:link w:val="940"/>
    <w:rPr>
      <w:sz w:val="28"/>
      <w:szCs w:val="28"/>
    </w:rPr>
  </w:style>
  <w:style w:type="character" w:styleId="1008" w:customStyle="1">
    <w:name w:val="blk"/>
  </w:style>
  <w:style w:type="numbering" w:styleId="1009" w:customStyle="1">
    <w:name w:val="Стиль2"/>
    <w:uiPriority w:val="99"/>
    <w:pPr>
      <w:numPr>
        <w:ilvl w:val="0"/>
        <w:numId w:val="5"/>
      </w:numPr>
    </w:pPr>
  </w:style>
  <w:style w:type="paragraph" w:styleId="1010" w:customStyle="1">
    <w:name w:val="Таблица шапка"/>
    <w:basedOn w:val="767"/>
    <w:pPr>
      <w:ind w:left="57" w:right="57"/>
      <w:keepNext/>
      <w:spacing w:before="40" w:after="40"/>
    </w:pPr>
    <w:rPr>
      <w:sz w:val="22"/>
      <w:szCs w:val="26"/>
    </w:rPr>
  </w:style>
  <w:style w:type="character" w:styleId="1011" w:customStyle="1">
    <w:name w:val="Абзац списка Знак"/>
    <w:link w:val="981"/>
    <w:uiPriority w:val="34"/>
    <w:rPr>
      <w:rFonts w:eastAsia="Calibri"/>
      <w:sz w:val="24"/>
      <w:szCs w:val="24"/>
    </w:rPr>
  </w:style>
  <w:style w:type="character" w:styleId="1012" w:customStyle="1">
    <w:name w:val="комментарий"/>
    <w:rPr>
      <w:b/>
      <w:i/>
      <w:shd w:val="clear" w:color="auto" w:fill="ffff99"/>
    </w:rPr>
  </w:style>
  <w:style w:type="paragraph" w:styleId="1013" w:customStyle="1">
    <w:name w:val="Подподпункт"/>
    <w:basedOn w:val="946"/>
    <w:link w:val="1014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14" w:customStyle="1">
    <w:name w:val="Подподпункт Знак"/>
    <w:link w:val="1013"/>
    <w:rPr>
      <w:sz w:val="26"/>
      <w:szCs w:val="26"/>
    </w:rPr>
  </w:style>
  <w:style w:type="paragraph" w:styleId="1015" w:customStyle="1">
    <w:name w:val="УРОВЕНЬ_(а)"/>
    <w:basedOn w:val="981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16" w:customStyle="1">
    <w:name w:val="УРОВЕНЬ_-"/>
    <w:basedOn w:val="981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17" w:customStyle="1">
    <w:name w:val="УРОВЕНЬ_Абзац_тип2"/>
    <w:basedOn w:val="981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18" w:customStyle="1">
    <w:name w:val="УРОВЕНЬ_Абзац_тип3"/>
    <w:basedOn w:val="981"/>
    <w:link w:val="1020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19" w:customStyle="1">
    <w:name w:val="УРОВЕНЬ_Подпись"/>
    <w:basedOn w:val="981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20" w:customStyle="1">
    <w:name w:val="УРОВЕНЬ_Абзац_тип3 Знак"/>
    <w:link w:val="1018"/>
    <w:rPr>
      <w:rFonts w:eastAsia="Calibri"/>
      <w:sz w:val="26"/>
      <w:szCs w:val="28"/>
      <w:lang w:eastAsia="en-US"/>
    </w:rPr>
  </w:style>
  <w:style w:type="character" w:styleId="1021" w:customStyle="1">
    <w:name w:val="Верхний колонтитул Знак"/>
    <w:link w:val="936"/>
    <w:uiPriority w:val="99"/>
    <w:rPr>
      <w:sz w:val="24"/>
      <w:szCs w:val="24"/>
    </w:rPr>
  </w:style>
  <w:style w:type="character" w:styleId="1022" w:customStyle="1">
    <w:name w:val="Текст примечания Знак"/>
    <w:link w:val="957"/>
    <w:semiHidden/>
  </w:style>
  <w:style w:type="paragraph" w:styleId="1023" w:customStyle="1">
    <w:name w:val="Стиль Заголовок 1 + по ширине"/>
    <w:basedOn w:val="76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24">
    <w:name w:val="endnote text"/>
    <w:basedOn w:val="767"/>
    <w:link w:val="1025"/>
    <w:rPr>
      <w:sz w:val="20"/>
      <w:szCs w:val="20"/>
    </w:rPr>
  </w:style>
  <w:style w:type="character" w:styleId="1025" w:customStyle="1">
    <w:name w:val="Текст концевой сноски Знак"/>
    <w:basedOn w:val="777"/>
    <w:link w:val="1024"/>
  </w:style>
  <w:style w:type="character" w:styleId="1026">
    <w:name w:val="endnote reference"/>
    <w:basedOn w:val="777"/>
    <w:rPr>
      <w:vertAlign w:val="superscript"/>
    </w:rPr>
  </w:style>
  <w:style w:type="paragraph" w:styleId="1027" w:customStyle="1">
    <w:name w:val="Заголовок 2 КВВ"/>
    <w:basedOn w:val="76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28" w:customStyle="1">
    <w:name w:val="Пункт2 Знак"/>
    <w:link w:val="947"/>
    <w:rPr>
      <w:b/>
      <w:sz w:val="28"/>
    </w:rPr>
  </w:style>
  <w:style w:type="paragraph" w:styleId="1029" w:customStyle="1">
    <w:name w:val="Таблица текст"/>
    <w:basedOn w:val="767"/>
    <w:pPr>
      <w:ind w:left="57" w:right="57"/>
      <w:spacing w:before="40" w:after="40"/>
    </w:pPr>
    <w:rPr>
      <w:sz w:val="24"/>
      <w:szCs w:val="26"/>
    </w:rPr>
  </w:style>
  <w:style w:type="paragraph" w:styleId="1030">
    <w:name w:val="Normal (Web)"/>
    <w:basedOn w:val="76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31" w:customStyle="1">
    <w:name w:val="УРОВЕНЬ_1."/>
    <w:basedOn w:val="981"/>
    <w:link w:val="1032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32" w:customStyle="1">
    <w:name w:val="УРОВЕНЬ_1. Знак"/>
    <w:link w:val="1031"/>
    <w:rPr>
      <w:rFonts w:eastAsia="Calibri"/>
      <w:caps/>
      <w:sz w:val="28"/>
      <w:szCs w:val="28"/>
      <w:lang w:eastAsia="en-US"/>
    </w:rPr>
  </w:style>
  <w:style w:type="table" w:styleId="1033" w:customStyle="1">
    <w:name w:val="Сетка таблицы1"/>
    <w:basedOn w:val="778"/>
    <w:next w:val="938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34">
    <w:name w:val="toc 6"/>
    <w:basedOn w:val="767"/>
    <w:next w:val="76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35">
    <w:name w:val="toc 7"/>
    <w:basedOn w:val="767"/>
    <w:next w:val="76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36">
    <w:name w:val="toc 8"/>
    <w:basedOn w:val="767"/>
    <w:next w:val="76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37" w:customStyle="1">
    <w:name w:val="Font Style19"/>
    <w:uiPriority w:val="9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://www.zakupki.gov.ru" TargetMode="External"/><Relationship Id="rId14" Type="http://schemas.openxmlformats.org/officeDocument/2006/relationships/hyperlink" Target="mailto:khalturina-ny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65D07-7E3E-4DC2-9B16-53B659345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korneva_oa</cp:lastModifiedBy>
  <cp:revision>33</cp:revision>
  <dcterms:created xsi:type="dcterms:W3CDTF">2023-12-19T04:35:00Z</dcterms:created>
  <dcterms:modified xsi:type="dcterms:W3CDTF">2026-08-04T23:49:49Z</dcterms:modified>
</cp:coreProperties>
</file>